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3677"/>
        <w:gridCol w:w="1281"/>
        <w:gridCol w:w="1318"/>
        <w:gridCol w:w="1320"/>
        <w:gridCol w:w="1333"/>
        <w:gridCol w:w="1151"/>
      </w:tblGrid>
      <w:tr w:rsidR="00E40C78" w:rsidRPr="0043698F" w14:paraId="56E8C8F6" w14:textId="77777777" w:rsidTr="001D3F05">
        <w:tc>
          <w:tcPr>
            <w:tcW w:w="3870" w:type="dxa"/>
            <w:shd w:val="clear" w:color="auto" w:fill="E59EDC" w:themeFill="accent5" w:themeFillTint="66"/>
          </w:tcPr>
          <w:p w14:paraId="0AA837F4" w14:textId="5CBF764F" w:rsidR="00E40C78" w:rsidRPr="0043698F" w:rsidRDefault="00E40C78">
            <w:pPr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43698F">
              <w:rPr>
                <w:rFonts w:ascii="Source Sans Pro" w:hAnsi="Source Sans Pro"/>
                <w:b/>
                <w:bCs/>
                <w:sz w:val="18"/>
                <w:szCs w:val="18"/>
              </w:rPr>
              <w:t>Best Practice Harm Reduction Interventions</w:t>
            </w:r>
          </w:p>
        </w:tc>
        <w:tc>
          <w:tcPr>
            <w:tcW w:w="1215" w:type="dxa"/>
            <w:shd w:val="clear" w:color="auto" w:fill="E59EDC" w:themeFill="accent5" w:themeFillTint="66"/>
          </w:tcPr>
          <w:p w14:paraId="7277354C" w14:textId="5FC5ACC7" w:rsidR="00E40C78" w:rsidRPr="0043698F" w:rsidRDefault="00E40C78">
            <w:pPr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43698F">
              <w:rPr>
                <w:rFonts w:ascii="Source Sans Pro" w:hAnsi="Source Sans Pro"/>
                <w:b/>
                <w:bCs/>
                <w:sz w:val="18"/>
                <w:szCs w:val="18"/>
              </w:rPr>
              <w:t>Not implemented or available</w:t>
            </w:r>
          </w:p>
        </w:tc>
        <w:tc>
          <w:tcPr>
            <w:tcW w:w="1334" w:type="dxa"/>
            <w:shd w:val="clear" w:color="auto" w:fill="E59EDC" w:themeFill="accent5" w:themeFillTint="66"/>
          </w:tcPr>
          <w:p w14:paraId="6244A483" w14:textId="1B7EF3D2" w:rsidR="00E40C78" w:rsidRPr="0043698F" w:rsidRDefault="00E40C78">
            <w:pPr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43698F">
              <w:rPr>
                <w:rFonts w:ascii="Source Sans Pro" w:hAnsi="Source Sans Pro"/>
                <w:b/>
                <w:bCs/>
                <w:sz w:val="18"/>
                <w:szCs w:val="18"/>
              </w:rPr>
              <w:t>In early discussions to implement</w:t>
            </w:r>
          </w:p>
        </w:tc>
        <w:tc>
          <w:tcPr>
            <w:tcW w:w="1335" w:type="dxa"/>
            <w:shd w:val="clear" w:color="auto" w:fill="E59EDC" w:themeFill="accent5" w:themeFillTint="66"/>
          </w:tcPr>
          <w:p w14:paraId="7E6811D3" w14:textId="46E06D1C" w:rsidR="00E40C78" w:rsidRPr="0043698F" w:rsidRDefault="00E40C78">
            <w:pPr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43698F">
              <w:rPr>
                <w:rFonts w:ascii="Source Sans Pro" w:hAnsi="Source Sans Pro"/>
                <w:b/>
                <w:bCs/>
                <w:sz w:val="18"/>
                <w:szCs w:val="18"/>
              </w:rPr>
              <w:t xml:space="preserve">Will adopt this imminently </w:t>
            </w:r>
          </w:p>
        </w:tc>
        <w:tc>
          <w:tcPr>
            <w:tcW w:w="1167" w:type="dxa"/>
            <w:shd w:val="clear" w:color="auto" w:fill="E59EDC" w:themeFill="accent5" w:themeFillTint="66"/>
          </w:tcPr>
          <w:p w14:paraId="7980BC7E" w14:textId="3C26B634" w:rsidR="00E40C78" w:rsidRPr="0043698F" w:rsidRDefault="00E40C78">
            <w:pPr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43698F">
              <w:rPr>
                <w:rFonts w:ascii="Source Sans Pro" w:hAnsi="Source Sans Pro"/>
                <w:b/>
                <w:bCs/>
                <w:sz w:val="18"/>
                <w:szCs w:val="18"/>
              </w:rPr>
              <w:t xml:space="preserve">Adopted but inconsistently </w:t>
            </w:r>
          </w:p>
        </w:tc>
        <w:tc>
          <w:tcPr>
            <w:tcW w:w="1159" w:type="dxa"/>
            <w:shd w:val="clear" w:color="auto" w:fill="E59EDC" w:themeFill="accent5" w:themeFillTint="66"/>
          </w:tcPr>
          <w:p w14:paraId="5ACC1CE4" w14:textId="722C8E1C" w:rsidR="00E40C78" w:rsidRPr="0043698F" w:rsidRDefault="00E40C78">
            <w:pPr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43698F">
              <w:rPr>
                <w:rFonts w:ascii="Source Sans Pro" w:hAnsi="Source Sans Pro"/>
                <w:b/>
                <w:bCs/>
                <w:sz w:val="18"/>
                <w:szCs w:val="18"/>
              </w:rPr>
              <w:t xml:space="preserve">Consistent service and practice </w:t>
            </w:r>
          </w:p>
        </w:tc>
      </w:tr>
      <w:tr w:rsidR="00E40C78" w:rsidRPr="0043698F" w14:paraId="2696FB74" w14:textId="77777777" w:rsidTr="001D3F05">
        <w:tc>
          <w:tcPr>
            <w:tcW w:w="3870" w:type="dxa"/>
          </w:tcPr>
          <w:p w14:paraId="3B726D25" w14:textId="0AA8194F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  <w:r w:rsidRPr="0043698F">
              <w:rPr>
                <w:rFonts w:ascii="Source Sans Pro" w:hAnsi="Source Sans Pro"/>
                <w:sz w:val="18"/>
                <w:szCs w:val="18"/>
              </w:rPr>
              <w:t>Needs-based syringe access programming</w:t>
            </w:r>
          </w:p>
        </w:tc>
        <w:tc>
          <w:tcPr>
            <w:tcW w:w="1215" w:type="dxa"/>
          </w:tcPr>
          <w:p w14:paraId="2FD1EDDF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4" w:type="dxa"/>
          </w:tcPr>
          <w:p w14:paraId="239F5E27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5" w:type="dxa"/>
          </w:tcPr>
          <w:p w14:paraId="33EBC55A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6FED699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59" w:type="dxa"/>
          </w:tcPr>
          <w:p w14:paraId="297BA1AC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E40C78" w:rsidRPr="0043698F" w14:paraId="62E5D08C" w14:textId="77777777" w:rsidTr="001D3F05">
        <w:tc>
          <w:tcPr>
            <w:tcW w:w="3870" w:type="dxa"/>
          </w:tcPr>
          <w:p w14:paraId="12DFB664" w14:textId="202264C4" w:rsidR="00E40C78" w:rsidRPr="0043698F" w:rsidRDefault="0043698F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Multiple/mobile</w:t>
            </w:r>
            <w:r w:rsidRPr="0043698F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="00580413" w:rsidRPr="0043698F">
              <w:rPr>
                <w:rFonts w:ascii="Source Sans Pro" w:hAnsi="Source Sans Pro"/>
                <w:sz w:val="18"/>
                <w:szCs w:val="18"/>
              </w:rPr>
              <w:t>syringe access points throughout a region</w:t>
            </w:r>
          </w:p>
        </w:tc>
        <w:tc>
          <w:tcPr>
            <w:tcW w:w="1215" w:type="dxa"/>
          </w:tcPr>
          <w:p w14:paraId="2B64C6B0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4" w:type="dxa"/>
          </w:tcPr>
          <w:p w14:paraId="542715CB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5" w:type="dxa"/>
          </w:tcPr>
          <w:p w14:paraId="7A7BEE00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F666D5B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59" w:type="dxa"/>
          </w:tcPr>
          <w:p w14:paraId="177E49E7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80413" w:rsidRPr="0043698F" w14:paraId="346E8312" w14:textId="77777777" w:rsidTr="001D3F05">
        <w:tc>
          <w:tcPr>
            <w:tcW w:w="3870" w:type="dxa"/>
          </w:tcPr>
          <w:p w14:paraId="1DC17FA5" w14:textId="402A648E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  <w:r w:rsidRPr="0043698F">
              <w:rPr>
                <w:rFonts w:ascii="Source Sans Pro" w:hAnsi="Source Sans Pro"/>
                <w:sz w:val="18"/>
                <w:szCs w:val="18"/>
              </w:rPr>
              <w:t xml:space="preserve">Syringe disposal sites </w:t>
            </w:r>
          </w:p>
        </w:tc>
        <w:tc>
          <w:tcPr>
            <w:tcW w:w="1215" w:type="dxa"/>
          </w:tcPr>
          <w:p w14:paraId="234AAA45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4" w:type="dxa"/>
          </w:tcPr>
          <w:p w14:paraId="0272DDEE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5" w:type="dxa"/>
          </w:tcPr>
          <w:p w14:paraId="0BB8A42B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57EBBA6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59" w:type="dxa"/>
          </w:tcPr>
          <w:p w14:paraId="29F1985A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1D3F05" w:rsidRPr="0043698F" w14:paraId="7AF10EEE" w14:textId="77777777" w:rsidTr="001D3F05">
        <w:tc>
          <w:tcPr>
            <w:tcW w:w="3870" w:type="dxa"/>
          </w:tcPr>
          <w:p w14:paraId="1D7D0FBC" w14:textId="46EA6A0E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  <w:r w:rsidRPr="0043698F">
              <w:rPr>
                <w:rFonts w:ascii="Source Sans Pro" w:hAnsi="Source Sans Pro"/>
                <w:sz w:val="18"/>
                <w:szCs w:val="18"/>
              </w:rPr>
              <w:t>Overdose reversal education and training</w:t>
            </w:r>
          </w:p>
        </w:tc>
        <w:tc>
          <w:tcPr>
            <w:tcW w:w="1215" w:type="dxa"/>
          </w:tcPr>
          <w:p w14:paraId="61D16A4C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4" w:type="dxa"/>
          </w:tcPr>
          <w:p w14:paraId="39E7DEFE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5" w:type="dxa"/>
          </w:tcPr>
          <w:p w14:paraId="0F629A02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4BAE923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59" w:type="dxa"/>
          </w:tcPr>
          <w:p w14:paraId="218EB637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E40C78" w:rsidRPr="0043698F" w14:paraId="4D5452B1" w14:textId="77777777" w:rsidTr="001D3F05">
        <w:tc>
          <w:tcPr>
            <w:tcW w:w="3870" w:type="dxa"/>
          </w:tcPr>
          <w:p w14:paraId="09395328" w14:textId="0076CDA0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  <w:r w:rsidRPr="0043698F">
              <w:rPr>
                <w:rFonts w:ascii="Source Sans Pro" w:hAnsi="Source Sans Pro"/>
                <w:sz w:val="18"/>
                <w:szCs w:val="18"/>
              </w:rPr>
              <w:t>Low-barrier naloxone access to people who use drugs</w:t>
            </w:r>
          </w:p>
        </w:tc>
        <w:tc>
          <w:tcPr>
            <w:tcW w:w="1215" w:type="dxa"/>
          </w:tcPr>
          <w:p w14:paraId="7737D9FA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4" w:type="dxa"/>
          </w:tcPr>
          <w:p w14:paraId="34B251B8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5" w:type="dxa"/>
          </w:tcPr>
          <w:p w14:paraId="37F5CA19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B56FB25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59" w:type="dxa"/>
          </w:tcPr>
          <w:p w14:paraId="02EDA106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43698F" w:rsidRPr="0043698F" w14:paraId="562856E1" w14:textId="77777777" w:rsidTr="001D3F05">
        <w:tc>
          <w:tcPr>
            <w:tcW w:w="3870" w:type="dxa"/>
          </w:tcPr>
          <w:p w14:paraId="3D0D0A5F" w14:textId="7570F60A" w:rsidR="0043698F" w:rsidRPr="0043698F" w:rsidRDefault="0043698F">
            <w:pPr>
              <w:rPr>
                <w:rFonts w:ascii="Source Sans Pro" w:hAnsi="Source Sans Pro"/>
                <w:sz w:val="18"/>
                <w:szCs w:val="18"/>
              </w:rPr>
            </w:pPr>
            <w:r w:rsidRPr="0043698F">
              <w:rPr>
                <w:rFonts w:ascii="Source Sans Pro" w:hAnsi="Source Sans Pro"/>
                <w:sz w:val="18"/>
                <w:szCs w:val="18"/>
              </w:rPr>
              <w:t>Low-barrier naloxone access for friends, family</w:t>
            </w:r>
            <w:r>
              <w:rPr>
                <w:rFonts w:ascii="Source Sans Pro" w:hAnsi="Source Sans Pro"/>
                <w:sz w:val="18"/>
                <w:szCs w:val="18"/>
              </w:rPr>
              <w:t>,</w:t>
            </w:r>
            <w:r w:rsidRPr="0043698F">
              <w:rPr>
                <w:rFonts w:ascii="Source Sans Pro" w:hAnsi="Source Sans Pro"/>
                <w:sz w:val="18"/>
                <w:szCs w:val="18"/>
              </w:rPr>
              <w:t xml:space="preserve"> and loved ones likely to witness an overdose </w:t>
            </w:r>
          </w:p>
        </w:tc>
        <w:tc>
          <w:tcPr>
            <w:tcW w:w="1215" w:type="dxa"/>
          </w:tcPr>
          <w:p w14:paraId="3853AFCF" w14:textId="77777777" w:rsidR="0043698F" w:rsidRPr="0043698F" w:rsidRDefault="0043698F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4" w:type="dxa"/>
          </w:tcPr>
          <w:p w14:paraId="7D8C751B" w14:textId="77777777" w:rsidR="0043698F" w:rsidRPr="0043698F" w:rsidRDefault="0043698F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5" w:type="dxa"/>
          </w:tcPr>
          <w:p w14:paraId="10759601" w14:textId="77777777" w:rsidR="0043698F" w:rsidRPr="0043698F" w:rsidRDefault="0043698F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A086E52" w14:textId="77777777" w:rsidR="0043698F" w:rsidRPr="0043698F" w:rsidRDefault="0043698F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59" w:type="dxa"/>
          </w:tcPr>
          <w:p w14:paraId="007CFDFC" w14:textId="77777777" w:rsidR="0043698F" w:rsidRPr="0043698F" w:rsidRDefault="0043698F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E40C78" w:rsidRPr="0043698F" w14:paraId="18073F93" w14:textId="77777777" w:rsidTr="001D3F05">
        <w:tc>
          <w:tcPr>
            <w:tcW w:w="3870" w:type="dxa"/>
          </w:tcPr>
          <w:p w14:paraId="36F52472" w14:textId="62807763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  <w:r w:rsidRPr="0043698F">
              <w:rPr>
                <w:rFonts w:ascii="Source Sans Pro" w:hAnsi="Source Sans Pro"/>
                <w:sz w:val="18"/>
                <w:szCs w:val="18"/>
              </w:rPr>
              <w:t xml:space="preserve">Accessible condoms throughout </w:t>
            </w:r>
            <w:r w:rsidR="0043698F">
              <w:rPr>
                <w:rFonts w:ascii="Source Sans Pro" w:hAnsi="Source Sans Pro"/>
                <w:sz w:val="18"/>
                <w:szCs w:val="18"/>
              </w:rPr>
              <w:t xml:space="preserve">the </w:t>
            </w:r>
            <w:r w:rsidRPr="0043698F">
              <w:rPr>
                <w:rFonts w:ascii="Source Sans Pro" w:hAnsi="Source Sans Pro"/>
                <w:sz w:val="18"/>
                <w:szCs w:val="18"/>
              </w:rPr>
              <w:t>County</w:t>
            </w:r>
          </w:p>
        </w:tc>
        <w:tc>
          <w:tcPr>
            <w:tcW w:w="1215" w:type="dxa"/>
          </w:tcPr>
          <w:p w14:paraId="75840293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4" w:type="dxa"/>
          </w:tcPr>
          <w:p w14:paraId="6463C772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5" w:type="dxa"/>
          </w:tcPr>
          <w:p w14:paraId="62E75EF7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13321EA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59" w:type="dxa"/>
          </w:tcPr>
          <w:p w14:paraId="01A8F557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E40C78" w:rsidRPr="0043698F" w14:paraId="082D567B" w14:textId="77777777" w:rsidTr="001D3F05">
        <w:tc>
          <w:tcPr>
            <w:tcW w:w="3870" w:type="dxa"/>
          </w:tcPr>
          <w:p w14:paraId="691EBACC" w14:textId="098D29FB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  <w:r w:rsidRPr="0043698F">
              <w:rPr>
                <w:rFonts w:ascii="Source Sans Pro" w:hAnsi="Source Sans Pro"/>
                <w:sz w:val="18"/>
                <w:szCs w:val="18"/>
              </w:rPr>
              <w:t xml:space="preserve">Low-barrier shelter options that do not require abstinence </w:t>
            </w:r>
          </w:p>
        </w:tc>
        <w:tc>
          <w:tcPr>
            <w:tcW w:w="1215" w:type="dxa"/>
          </w:tcPr>
          <w:p w14:paraId="5AF1207D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4" w:type="dxa"/>
          </w:tcPr>
          <w:p w14:paraId="6F784954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5" w:type="dxa"/>
          </w:tcPr>
          <w:p w14:paraId="74A20742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6FD76FA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59" w:type="dxa"/>
          </w:tcPr>
          <w:p w14:paraId="44C9FC02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E40C78" w:rsidRPr="0043698F" w14:paraId="00E82135" w14:textId="77777777" w:rsidTr="001D3F05">
        <w:tc>
          <w:tcPr>
            <w:tcW w:w="3870" w:type="dxa"/>
          </w:tcPr>
          <w:p w14:paraId="4E5B63D5" w14:textId="026A2D8D" w:rsidR="00E40C78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  <w:r w:rsidRPr="0043698F">
              <w:rPr>
                <w:rFonts w:ascii="Source Sans Pro" w:hAnsi="Source Sans Pro"/>
                <w:sz w:val="18"/>
                <w:szCs w:val="18"/>
              </w:rPr>
              <w:t xml:space="preserve">Drug-checking services for people who use drugs </w:t>
            </w:r>
          </w:p>
        </w:tc>
        <w:tc>
          <w:tcPr>
            <w:tcW w:w="1215" w:type="dxa"/>
          </w:tcPr>
          <w:p w14:paraId="2311B03B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4" w:type="dxa"/>
          </w:tcPr>
          <w:p w14:paraId="78A296B4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5" w:type="dxa"/>
          </w:tcPr>
          <w:p w14:paraId="107C7E57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3078854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59" w:type="dxa"/>
          </w:tcPr>
          <w:p w14:paraId="2305C540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1D3F05" w:rsidRPr="0043698F" w14:paraId="2A1F4807" w14:textId="77777777" w:rsidTr="001D3F05">
        <w:tc>
          <w:tcPr>
            <w:tcW w:w="3870" w:type="dxa"/>
          </w:tcPr>
          <w:p w14:paraId="6BF19E10" w14:textId="7183D57A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  <w:r w:rsidRPr="0043698F">
              <w:rPr>
                <w:rFonts w:ascii="Source Sans Pro" w:hAnsi="Source Sans Pro"/>
                <w:sz w:val="18"/>
                <w:szCs w:val="18"/>
              </w:rPr>
              <w:t>Fentanyl test strip</w:t>
            </w:r>
            <w:r w:rsidR="0043698F" w:rsidRPr="0043698F">
              <w:rPr>
                <w:rFonts w:ascii="Source Sans Pro" w:hAnsi="Source Sans Pro"/>
                <w:sz w:val="18"/>
                <w:szCs w:val="18"/>
              </w:rPr>
              <w:t xml:space="preserve"> distribution </w:t>
            </w:r>
          </w:p>
        </w:tc>
        <w:tc>
          <w:tcPr>
            <w:tcW w:w="1215" w:type="dxa"/>
          </w:tcPr>
          <w:p w14:paraId="2F49C5F2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4" w:type="dxa"/>
          </w:tcPr>
          <w:p w14:paraId="3C3BB1C0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5" w:type="dxa"/>
          </w:tcPr>
          <w:p w14:paraId="591EEE9C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2B4CB0A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59" w:type="dxa"/>
          </w:tcPr>
          <w:p w14:paraId="3CDDF57B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1D3F05" w:rsidRPr="0043698F" w14:paraId="1620B427" w14:textId="77777777" w:rsidTr="001D3F05">
        <w:tc>
          <w:tcPr>
            <w:tcW w:w="3870" w:type="dxa"/>
          </w:tcPr>
          <w:p w14:paraId="2DF3DD9D" w14:textId="6A6FBB7D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  <w:r w:rsidRPr="0043698F">
              <w:rPr>
                <w:rFonts w:ascii="Source Sans Pro" w:hAnsi="Source Sans Pro"/>
                <w:sz w:val="18"/>
                <w:szCs w:val="18"/>
              </w:rPr>
              <w:t>Education on safer consumption practices</w:t>
            </w:r>
          </w:p>
        </w:tc>
        <w:tc>
          <w:tcPr>
            <w:tcW w:w="1215" w:type="dxa"/>
          </w:tcPr>
          <w:p w14:paraId="7F89993D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4" w:type="dxa"/>
          </w:tcPr>
          <w:p w14:paraId="5CC8A4C1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5" w:type="dxa"/>
          </w:tcPr>
          <w:p w14:paraId="18657A06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806FFF7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59" w:type="dxa"/>
          </w:tcPr>
          <w:p w14:paraId="0F965AA9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1D3F05" w:rsidRPr="0043698F" w14:paraId="1A1EC64D" w14:textId="77777777" w:rsidTr="001D3F05">
        <w:tc>
          <w:tcPr>
            <w:tcW w:w="3870" w:type="dxa"/>
          </w:tcPr>
          <w:p w14:paraId="2CAA6FA0" w14:textId="602BCBAA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  <w:r w:rsidRPr="0043698F">
              <w:rPr>
                <w:rFonts w:ascii="Source Sans Pro" w:hAnsi="Source Sans Pro"/>
                <w:sz w:val="18"/>
                <w:szCs w:val="18"/>
              </w:rPr>
              <w:t>Safer smoking supplies</w:t>
            </w:r>
          </w:p>
        </w:tc>
        <w:tc>
          <w:tcPr>
            <w:tcW w:w="1215" w:type="dxa"/>
          </w:tcPr>
          <w:p w14:paraId="21891A74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4" w:type="dxa"/>
          </w:tcPr>
          <w:p w14:paraId="23C89900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5" w:type="dxa"/>
          </w:tcPr>
          <w:p w14:paraId="61A26C11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F18A490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59" w:type="dxa"/>
          </w:tcPr>
          <w:p w14:paraId="5F6E00BA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1D3F05" w:rsidRPr="0043698F" w14:paraId="19DAB46C" w14:textId="77777777" w:rsidTr="001D3F05">
        <w:tc>
          <w:tcPr>
            <w:tcW w:w="3870" w:type="dxa"/>
          </w:tcPr>
          <w:p w14:paraId="3C17DB20" w14:textId="56ED8E2F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  <w:r w:rsidRPr="0043698F">
              <w:rPr>
                <w:rFonts w:ascii="Source Sans Pro" w:hAnsi="Source Sans Pro"/>
                <w:sz w:val="18"/>
                <w:szCs w:val="18"/>
              </w:rPr>
              <w:t xml:space="preserve">Safer </w:t>
            </w:r>
            <w:r w:rsidR="0043698F">
              <w:rPr>
                <w:rFonts w:ascii="Source Sans Pro" w:hAnsi="Source Sans Pro"/>
                <w:sz w:val="18"/>
                <w:szCs w:val="18"/>
              </w:rPr>
              <w:t>injection</w:t>
            </w:r>
            <w:r w:rsidRPr="0043698F">
              <w:rPr>
                <w:rFonts w:ascii="Source Sans Pro" w:hAnsi="Source Sans Pro"/>
                <w:sz w:val="18"/>
                <w:szCs w:val="18"/>
              </w:rPr>
              <w:t xml:space="preserve"> supplies, including waters, cottons, cookers, etc.</w:t>
            </w:r>
          </w:p>
        </w:tc>
        <w:tc>
          <w:tcPr>
            <w:tcW w:w="1215" w:type="dxa"/>
          </w:tcPr>
          <w:p w14:paraId="7A3E32E4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4" w:type="dxa"/>
          </w:tcPr>
          <w:p w14:paraId="3F33449F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5" w:type="dxa"/>
          </w:tcPr>
          <w:p w14:paraId="2CDC61E7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DA4A21A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59" w:type="dxa"/>
          </w:tcPr>
          <w:p w14:paraId="4FEB885A" w14:textId="77777777" w:rsidR="001D3F05" w:rsidRPr="0043698F" w:rsidRDefault="001D3F0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E40C78" w:rsidRPr="0043698F" w14:paraId="026A9D28" w14:textId="77777777" w:rsidTr="001D3F05">
        <w:tc>
          <w:tcPr>
            <w:tcW w:w="3870" w:type="dxa"/>
          </w:tcPr>
          <w:p w14:paraId="644EA9AC" w14:textId="233A3763" w:rsidR="00E40C78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  <w:r w:rsidRPr="0043698F">
              <w:rPr>
                <w:rFonts w:ascii="Source Sans Pro" w:hAnsi="Source Sans Pro"/>
                <w:sz w:val="18"/>
                <w:szCs w:val="18"/>
              </w:rPr>
              <w:t>Funding streams from County to community</w:t>
            </w:r>
            <w:r w:rsidR="001D3F05" w:rsidRPr="0043698F">
              <w:rPr>
                <w:rFonts w:ascii="Source Sans Pro" w:hAnsi="Source Sans Pro"/>
                <w:sz w:val="18"/>
                <w:szCs w:val="18"/>
              </w:rPr>
              <w:t>-</w:t>
            </w:r>
            <w:r w:rsidRPr="0043698F">
              <w:rPr>
                <w:rFonts w:ascii="Source Sans Pro" w:hAnsi="Source Sans Pro"/>
                <w:sz w:val="18"/>
                <w:szCs w:val="18"/>
              </w:rPr>
              <w:t xml:space="preserve">based harm reduction programs that prioritize hiring people with lived experience </w:t>
            </w:r>
          </w:p>
        </w:tc>
        <w:tc>
          <w:tcPr>
            <w:tcW w:w="1215" w:type="dxa"/>
          </w:tcPr>
          <w:p w14:paraId="38D006E6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4" w:type="dxa"/>
          </w:tcPr>
          <w:p w14:paraId="1FA57B93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5" w:type="dxa"/>
          </w:tcPr>
          <w:p w14:paraId="2A827DF6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B270BC0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59" w:type="dxa"/>
          </w:tcPr>
          <w:p w14:paraId="53FAA63B" w14:textId="77777777" w:rsidR="00E40C78" w:rsidRPr="0043698F" w:rsidRDefault="00E40C7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80413" w:rsidRPr="0043698F" w14:paraId="5EF3372B" w14:textId="77777777" w:rsidTr="001D3F05">
        <w:tc>
          <w:tcPr>
            <w:tcW w:w="3870" w:type="dxa"/>
          </w:tcPr>
          <w:p w14:paraId="471EF822" w14:textId="4432394D" w:rsidR="00580413" w:rsidRPr="0043698F" w:rsidRDefault="00575F15">
            <w:pPr>
              <w:rPr>
                <w:rFonts w:ascii="Source Sans Pro" w:hAnsi="Source Sans Pro"/>
                <w:sz w:val="18"/>
                <w:szCs w:val="18"/>
              </w:rPr>
            </w:pPr>
            <w:r w:rsidRPr="0043698F">
              <w:rPr>
                <w:rFonts w:ascii="Source Sans Pro" w:hAnsi="Source Sans Pro"/>
                <w:sz w:val="18"/>
                <w:szCs w:val="18"/>
              </w:rPr>
              <w:t>HIV and viral hepatitis screening and linkage to care</w:t>
            </w:r>
          </w:p>
        </w:tc>
        <w:tc>
          <w:tcPr>
            <w:tcW w:w="1215" w:type="dxa"/>
          </w:tcPr>
          <w:p w14:paraId="0A2219A1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4" w:type="dxa"/>
          </w:tcPr>
          <w:p w14:paraId="593DF0D5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5" w:type="dxa"/>
          </w:tcPr>
          <w:p w14:paraId="384CEFD3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A994053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59" w:type="dxa"/>
          </w:tcPr>
          <w:p w14:paraId="6445A5B7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80413" w:rsidRPr="0043698F" w14:paraId="524C04F5" w14:textId="77777777" w:rsidTr="001D3F05">
        <w:tc>
          <w:tcPr>
            <w:tcW w:w="3870" w:type="dxa"/>
          </w:tcPr>
          <w:p w14:paraId="6D6F4BB0" w14:textId="69A4D137" w:rsidR="00580413" w:rsidRPr="0043698F" w:rsidRDefault="00575F15">
            <w:pPr>
              <w:rPr>
                <w:rFonts w:ascii="Source Sans Pro" w:hAnsi="Source Sans Pro"/>
                <w:sz w:val="18"/>
                <w:szCs w:val="18"/>
              </w:rPr>
            </w:pPr>
            <w:r w:rsidRPr="0043698F">
              <w:rPr>
                <w:rFonts w:ascii="Source Sans Pro" w:hAnsi="Source Sans Pro"/>
                <w:sz w:val="18"/>
                <w:szCs w:val="18"/>
              </w:rPr>
              <w:t>Referral to hepatitis A and B vaccinations</w:t>
            </w:r>
          </w:p>
        </w:tc>
        <w:tc>
          <w:tcPr>
            <w:tcW w:w="1215" w:type="dxa"/>
          </w:tcPr>
          <w:p w14:paraId="61B7A223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4" w:type="dxa"/>
          </w:tcPr>
          <w:p w14:paraId="5CD3F4A7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5" w:type="dxa"/>
          </w:tcPr>
          <w:p w14:paraId="4A5D7FA3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FF6694D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59" w:type="dxa"/>
          </w:tcPr>
          <w:p w14:paraId="2B32AE0D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80413" w:rsidRPr="0043698F" w14:paraId="1D45E23E" w14:textId="77777777" w:rsidTr="001D3F05">
        <w:tc>
          <w:tcPr>
            <w:tcW w:w="3870" w:type="dxa"/>
          </w:tcPr>
          <w:p w14:paraId="48EC70C2" w14:textId="177550E0" w:rsidR="00580413" w:rsidRPr="0043698F" w:rsidRDefault="00575F15">
            <w:pPr>
              <w:rPr>
                <w:rFonts w:ascii="Source Sans Pro" w:hAnsi="Source Sans Pro"/>
                <w:sz w:val="18"/>
                <w:szCs w:val="18"/>
              </w:rPr>
            </w:pPr>
            <w:r w:rsidRPr="0043698F">
              <w:rPr>
                <w:rFonts w:ascii="Source Sans Pro" w:hAnsi="Source Sans Pro"/>
                <w:sz w:val="18"/>
                <w:szCs w:val="18"/>
              </w:rPr>
              <w:t xml:space="preserve">Linkage to HIV prevention services, including </w:t>
            </w:r>
            <w:proofErr w:type="spellStart"/>
            <w:r w:rsidRPr="0043698F">
              <w:rPr>
                <w:rFonts w:ascii="Source Sans Pro" w:hAnsi="Source Sans Pro"/>
                <w:sz w:val="18"/>
                <w:szCs w:val="18"/>
              </w:rPr>
              <w:t>PrEP</w:t>
            </w:r>
            <w:proofErr w:type="spellEnd"/>
            <w:r w:rsidRPr="0043698F">
              <w:rPr>
                <w:rFonts w:ascii="Source Sans Pro" w:hAnsi="Source Sans Pro"/>
                <w:sz w:val="18"/>
                <w:szCs w:val="18"/>
              </w:rPr>
              <w:t xml:space="preserve"> and PEP</w:t>
            </w:r>
          </w:p>
        </w:tc>
        <w:tc>
          <w:tcPr>
            <w:tcW w:w="1215" w:type="dxa"/>
          </w:tcPr>
          <w:p w14:paraId="31AE9A85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4" w:type="dxa"/>
          </w:tcPr>
          <w:p w14:paraId="126AA434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5" w:type="dxa"/>
          </w:tcPr>
          <w:p w14:paraId="202A2819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C510C52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59" w:type="dxa"/>
          </w:tcPr>
          <w:p w14:paraId="1C5252F9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80413" w:rsidRPr="0043698F" w14:paraId="6DE0BC79" w14:textId="77777777" w:rsidTr="001D3F05">
        <w:tc>
          <w:tcPr>
            <w:tcW w:w="3870" w:type="dxa"/>
          </w:tcPr>
          <w:p w14:paraId="7F4EE12B" w14:textId="00571583" w:rsidR="00580413" w:rsidRPr="0043698F" w:rsidRDefault="00575F15">
            <w:pPr>
              <w:rPr>
                <w:rFonts w:ascii="Source Sans Pro" w:hAnsi="Source Sans Pro"/>
                <w:sz w:val="18"/>
                <w:szCs w:val="18"/>
              </w:rPr>
            </w:pPr>
            <w:r w:rsidRPr="0043698F">
              <w:rPr>
                <w:rFonts w:ascii="Source Sans Pro" w:hAnsi="Source Sans Pro"/>
                <w:sz w:val="18"/>
                <w:szCs w:val="18"/>
              </w:rPr>
              <w:t>Referral and linkage to substance use disorder services, including MOUD/OAMT</w:t>
            </w:r>
          </w:p>
        </w:tc>
        <w:tc>
          <w:tcPr>
            <w:tcW w:w="1215" w:type="dxa"/>
          </w:tcPr>
          <w:p w14:paraId="10213306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4" w:type="dxa"/>
          </w:tcPr>
          <w:p w14:paraId="64AF1F28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5" w:type="dxa"/>
          </w:tcPr>
          <w:p w14:paraId="2D4B214B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648F2F8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59" w:type="dxa"/>
          </w:tcPr>
          <w:p w14:paraId="279DDAD4" w14:textId="77777777" w:rsidR="00580413" w:rsidRPr="0043698F" w:rsidRDefault="00580413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2F39EC" w:rsidRPr="0043698F" w14:paraId="1D8EBC2F" w14:textId="77777777" w:rsidTr="001D3F05">
        <w:tc>
          <w:tcPr>
            <w:tcW w:w="3870" w:type="dxa"/>
          </w:tcPr>
          <w:p w14:paraId="6408107A" w14:textId="2586058F" w:rsidR="002F39EC" w:rsidRPr="0043698F" w:rsidRDefault="002F39EC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Supervised Consumption Site or Overdose Prevention Site</w:t>
            </w:r>
          </w:p>
        </w:tc>
        <w:tc>
          <w:tcPr>
            <w:tcW w:w="1215" w:type="dxa"/>
          </w:tcPr>
          <w:p w14:paraId="246CF3E2" w14:textId="77777777" w:rsidR="002F39EC" w:rsidRPr="0043698F" w:rsidRDefault="002F39EC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4" w:type="dxa"/>
          </w:tcPr>
          <w:p w14:paraId="02D4FD99" w14:textId="77777777" w:rsidR="002F39EC" w:rsidRPr="0043698F" w:rsidRDefault="002F39EC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5" w:type="dxa"/>
          </w:tcPr>
          <w:p w14:paraId="4011778D" w14:textId="77777777" w:rsidR="002F39EC" w:rsidRPr="0043698F" w:rsidRDefault="002F39EC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9243310" w14:textId="77777777" w:rsidR="002F39EC" w:rsidRPr="0043698F" w:rsidRDefault="002F39EC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59" w:type="dxa"/>
          </w:tcPr>
          <w:p w14:paraId="7CC7F1A8" w14:textId="77777777" w:rsidR="002F39EC" w:rsidRPr="0043698F" w:rsidRDefault="002F39EC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6A00D8" w:rsidRPr="0043698F" w14:paraId="61055DC1" w14:textId="77777777" w:rsidTr="001D3F05">
        <w:tc>
          <w:tcPr>
            <w:tcW w:w="3870" w:type="dxa"/>
          </w:tcPr>
          <w:p w14:paraId="22BF84F7" w14:textId="6C22A757" w:rsidR="006A00D8" w:rsidRDefault="006A00D8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 xml:space="preserve">Drop-in centers </w:t>
            </w:r>
          </w:p>
        </w:tc>
        <w:tc>
          <w:tcPr>
            <w:tcW w:w="1215" w:type="dxa"/>
          </w:tcPr>
          <w:p w14:paraId="285CB6AC" w14:textId="77777777" w:rsidR="006A00D8" w:rsidRPr="0043698F" w:rsidRDefault="006A00D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4" w:type="dxa"/>
          </w:tcPr>
          <w:p w14:paraId="07D8AE25" w14:textId="77777777" w:rsidR="006A00D8" w:rsidRPr="0043698F" w:rsidRDefault="006A00D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335" w:type="dxa"/>
          </w:tcPr>
          <w:p w14:paraId="1E9D63C3" w14:textId="77777777" w:rsidR="006A00D8" w:rsidRPr="0043698F" w:rsidRDefault="006A00D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708EAA9" w14:textId="77777777" w:rsidR="006A00D8" w:rsidRPr="0043698F" w:rsidRDefault="006A00D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59" w:type="dxa"/>
          </w:tcPr>
          <w:p w14:paraId="4C1F1F6C" w14:textId="77777777" w:rsidR="006A00D8" w:rsidRPr="0043698F" w:rsidRDefault="006A00D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14:paraId="439A3A55" w14:textId="77777777" w:rsidR="001C2D49" w:rsidRPr="00E40C78" w:rsidRDefault="001C2D49">
      <w:pPr>
        <w:rPr>
          <w:rFonts w:ascii="Source Sans Pro" w:hAnsi="Source Sans Pro"/>
          <w:sz w:val="14"/>
          <w:szCs w:val="14"/>
        </w:rPr>
      </w:pPr>
    </w:p>
    <w:sectPr w:rsidR="001C2D49" w:rsidRPr="00E4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78"/>
    <w:rsid w:val="001C2D49"/>
    <w:rsid w:val="001D3F05"/>
    <w:rsid w:val="002F39EC"/>
    <w:rsid w:val="0043698F"/>
    <w:rsid w:val="00575F15"/>
    <w:rsid w:val="00580413"/>
    <w:rsid w:val="006A00D8"/>
    <w:rsid w:val="00BD43E5"/>
    <w:rsid w:val="00E4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5E7D4"/>
  <w15:chartTrackingRefBased/>
  <w15:docId w15:val="{4D30930B-772D-4602-94F1-97B77711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C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C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C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C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C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C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C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C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C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C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C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C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C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C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C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0C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C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0C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0C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0C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C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0C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0C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0C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0C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0C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C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C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0C7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4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3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F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3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O'Neill</dc:creator>
  <cp:keywords/>
  <dc:description/>
  <cp:lastModifiedBy>Savannah O'Neill</cp:lastModifiedBy>
  <cp:revision>6</cp:revision>
  <dcterms:created xsi:type="dcterms:W3CDTF">2024-04-10T23:56:00Z</dcterms:created>
  <dcterms:modified xsi:type="dcterms:W3CDTF">2024-04-22T17:51:00Z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30b4125f-7ea4-49e0-a220-4fb53efe50a4</vt:lpwstr>
  </property>
</Properties>
</file>