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0718E" w14:textId="5C6A1D0B" w:rsidR="00DC133B" w:rsidRPr="00DC133B" w:rsidRDefault="00DC133B" w:rsidP="00DC133B">
      <w:pPr>
        <w:rPr>
          <w:i/>
          <w:iCs/>
        </w:rPr>
      </w:pPr>
      <w:r w:rsidRPr="00DC133B">
        <w:rPr>
          <w:i/>
          <w:iCs/>
        </w:rPr>
        <w:t>Prompt: Considering all these findings I have, act as an equity-focused data analyst. Is there anything important I am missing in my analysis, that I should add in before presenting this information to the foundation?</w:t>
      </w:r>
    </w:p>
    <w:p w14:paraId="69B13C82" w14:textId="6BD45F25" w:rsidR="00DC133B" w:rsidRDefault="00000000" w:rsidP="00DC133B">
      <w:r>
        <w:pict w14:anchorId="1ACAA97A">
          <v:rect id="_x0000_i1025" style="width:0;height:1.5pt" o:hralign="center" o:hrstd="t" o:hr="t" fillcolor="#a0a0a0" stroked="f"/>
        </w:pict>
      </w:r>
    </w:p>
    <w:p w14:paraId="214316F4" w14:textId="6E4BE453" w:rsidR="001B79E4" w:rsidRPr="001B79E4" w:rsidRDefault="001B79E4" w:rsidP="00DC133B">
      <w:pPr>
        <w:rPr>
          <w:b/>
          <w:bCs/>
          <w:u w:val="single"/>
        </w:rPr>
      </w:pPr>
      <w:r w:rsidRPr="001B79E4">
        <w:rPr>
          <w:b/>
          <w:bCs/>
          <w:u w:val="single"/>
        </w:rPr>
        <w:t>Gemini response</w:t>
      </w:r>
    </w:p>
    <w:p w14:paraId="79E17C7A" w14:textId="25D4578C" w:rsidR="00DC133B" w:rsidRPr="00DC133B" w:rsidRDefault="00DC133B" w:rsidP="00DC133B">
      <w:r>
        <w:t>Y</w:t>
      </w:r>
      <w:r w:rsidRPr="00DC133B">
        <w:t>our analyses are statistically sound, but to present them with a strong equity focus, you're missing a few key layers of interpretation and context. Before presenting to the foundation, I highly recommend adding the following elements to transform your findings into a powerful narrative for change.</w:t>
      </w:r>
    </w:p>
    <w:p w14:paraId="4A6AF77D" w14:textId="77777777" w:rsidR="00DC133B" w:rsidRPr="00DC133B" w:rsidRDefault="00DC133B" w:rsidP="00DC133B">
      <w:pPr>
        <w:rPr>
          <w:b/>
          <w:bCs/>
        </w:rPr>
      </w:pPr>
      <w:r w:rsidRPr="00DC133B">
        <w:rPr>
          <w:b/>
          <w:bCs/>
        </w:rPr>
        <w:t>## 1. An Intersectional Analysis</w:t>
      </w:r>
    </w:p>
    <w:p w14:paraId="04A565C2" w14:textId="77777777" w:rsidR="00DC133B" w:rsidRPr="00DC133B" w:rsidRDefault="00DC133B" w:rsidP="00DC133B">
      <w:r w:rsidRPr="00DC133B">
        <w:t>Your current analysis looks at characteristics like race, housing, and justice involvement as separate issues. However, people live at the intersection of these identities, and their experiences of inequity are often compounded. A person isn't just Latine or just experiencing homelessness; they may be both, and the combined barrier they face is likely greater than the sum of its parts.</w:t>
      </w:r>
    </w:p>
    <w:p w14:paraId="583D73CE" w14:textId="77777777" w:rsidR="00DC133B" w:rsidRPr="00DC133B" w:rsidRDefault="00DC133B" w:rsidP="00DC133B">
      <w:pPr>
        <w:numPr>
          <w:ilvl w:val="0"/>
          <w:numId w:val="1"/>
        </w:numPr>
      </w:pPr>
      <w:r w:rsidRPr="00DC133B">
        <w:rPr>
          <w:b/>
          <w:bCs/>
        </w:rPr>
        <w:t>What to do:</w:t>
      </w:r>
      <w:r w:rsidRPr="00DC133B">
        <w:t xml:space="preserve"> Add a section discussing the importance of </w:t>
      </w:r>
      <w:r w:rsidRPr="00DC133B">
        <w:rPr>
          <w:b/>
          <w:bCs/>
        </w:rPr>
        <w:t>intersectionality</w:t>
      </w:r>
      <w:r w:rsidRPr="00DC133B">
        <w:t>. While your current models treat each variable independently, you should highlight that the most vulnerable Californians are those living with multiple marginalized identities.</w:t>
      </w:r>
    </w:p>
    <w:p w14:paraId="489085BE" w14:textId="77777777" w:rsidR="00DC133B" w:rsidRPr="00DC133B" w:rsidRDefault="00DC133B" w:rsidP="00DC133B">
      <w:pPr>
        <w:numPr>
          <w:ilvl w:val="0"/>
          <w:numId w:val="1"/>
        </w:numPr>
      </w:pPr>
      <w:r w:rsidRPr="00DC133B">
        <w:rPr>
          <w:b/>
          <w:bCs/>
        </w:rPr>
        <w:t>Policy Implication:</w:t>
      </w:r>
      <w:r w:rsidRPr="00DC133B">
        <w:t xml:space="preserve"> This reframes the problem from "we need a program for unhoused people" to "we need programs specifically designed for unhoused Latine youth" or "formerly incarcerated Black women." It pushes the foundation toward funding more nuanced, targeted, and ultimately more effective interventions.</w:t>
      </w:r>
    </w:p>
    <w:p w14:paraId="6B67B70B" w14:textId="77777777" w:rsidR="00DC133B" w:rsidRPr="00DC133B" w:rsidRDefault="00DC133B" w:rsidP="00DC133B">
      <w:pPr>
        <w:rPr>
          <w:b/>
          <w:bCs/>
        </w:rPr>
      </w:pPr>
      <w:r w:rsidRPr="00DC133B">
        <w:rPr>
          <w:b/>
          <w:bCs/>
        </w:rPr>
        <w:t>## 2. The "Why": Qualitative Context</w:t>
      </w:r>
    </w:p>
    <w:p w14:paraId="04E605DB" w14:textId="77777777" w:rsidR="00DC133B" w:rsidRPr="00DC133B" w:rsidRDefault="00DC133B" w:rsidP="00DC133B">
      <w:r w:rsidRPr="00DC133B">
        <w:t xml:space="preserve">Your quantitative data is excellent at showing </w:t>
      </w:r>
      <w:r w:rsidRPr="00DC133B">
        <w:rPr>
          <w:i/>
          <w:iCs/>
        </w:rPr>
        <w:t>what</w:t>
      </w:r>
      <w:r w:rsidRPr="00DC133B">
        <w:t xml:space="preserve"> is happening, but it cannot explain </w:t>
      </w:r>
      <w:r w:rsidRPr="00DC133B">
        <w:rPr>
          <w:i/>
          <w:iCs/>
        </w:rPr>
        <w:t>why</w:t>
      </w:r>
      <w:r w:rsidRPr="00DC133B">
        <w:t>. The most glaring example is your finding that receiving MAT is associated with a lower likelihood of "treatment completion."</w:t>
      </w:r>
    </w:p>
    <w:p w14:paraId="077B428F" w14:textId="77777777" w:rsidR="00DC133B" w:rsidRPr="00DC133B" w:rsidRDefault="00DC133B" w:rsidP="00DC133B">
      <w:pPr>
        <w:numPr>
          <w:ilvl w:val="0"/>
          <w:numId w:val="2"/>
        </w:numPr>
      </w:pPr>
      <w:r w:rsidRPr="00DC133B">
        <w:rPr>
          <w:b/>
          <w:bCs/>
        </w:rPr>
        <w:t>What to do:</w:t>
      </w:r>
      <w:r w:rsidRPr="00DC133B">
        <w:t xml:space="preserve"> Explicitly state the limitations of your quantitative data. Propose that the numbers are symptoms of deeper systemic issues and that </w:t>
      </w:r>
      <w:r w:rsidRPr="00DC133B">
        <w:rPr>
          <w:b/>
          <w:bCs/>
        </w:rPr>
        <w:t>qualitative data is needed to understand the context.</w:t>
      </w:r>
      <w:r w:rsidRPr="00DC133B">
        <w:t xml:space="preserve"> Why are Latine individuals less likely to get MAT? Why do employed people have lower odds of completing treatment? Answering this requires talking to patients and providers.</w:t>
      </w:r>
    </w:p>
    <w:p w14:paraId="1EB50A92" w14:textId="77777777" w:rsidR="00DC133B" w:rsidRPr="00DC133B" w:rsidRDefault="00DC133B" w:rsidP="00DC133B">
      <w:pPr>
        <w:numPr>
          <w:ilvl w:val="0"/>
          <w:numId w:val="2"/>
        </w:numPr>
      </w:pPr>
      <w:r w:rsidRPr="00DC133B">
        <w:rPr>
          <w:b/>
          <w:bCs/>
        </w:rPr>
        <w:t>Policy Implication:</w:t>
      </w:r>
      <w:r w:rsidRPr="00DC133B">
        <w:t xml:space="preserve"> This positions the foundation not just as a funder of services, but as a supporter of community-based participatory research. It suggests a </w:t>
      </w:r>
      <w:r w:rsidRPr="00DC133B">
        <w:lastRenderedPageBreak/>
        <w:t>powerful next step: funding focus groups or interviews with patients to understand their experiences and design better, more responsive systems.</w:t>
      </w:r>
    </w:p>
    <w:p w14:paraId="2263335F" w14:textId="77777777" w:rsidR="00DC133B" w:rsidRPr="00DC133B" w:rsidRDefault="00DC133B" w:rsidP="00DC133B">
      <w:pPr>
        <w:rPr>
          <w:b/>
          <w:bCs/>
        </w:rPr>
      </w:pPr>
      <w:r w:rsidRPr="00DC133B">
        <w:rPr>
          <w:b/>
          <w:bCs/>
        </w:rPr>
        <w:t>## 3. Re-framing the Narrative to Focus on Systems, Not People</w:t>
      </w:r>
    </w:p>
    <w:p w14:paraId="52B67D0E" w14:textId="77777777" w:rsidR="00DC133B" w:rsidRPr="00DC133B" w:rsidRDefault="00DC133B" w:rsidP="00DC133B">
      <w:r w:rsidRPr="00DC133B">
        <w:t>The way you frame your results is critical. An equity lens requires that we attribute disparities to systemic failures, not individual deficits.</w:t>
      </w:r>
    </w:p>
    <w:p w14:paraId="3DE86F1B" w14:textId="77777777" w:rsidR="00DC133B" w:rsidRPr="00DC133B" w:rsidRDefault="00DC133B" w:rsidP="00DC133B">
      <w:pPr>
        <w:numPr>
          <w:ilvl w:val="0"/>
          <w:numId w:val="3"/>
        </w:numPr>
      </w:pPr>
      <w:r w:rsidRPr="00DC133B">
        <w:rPr>
          <w:b/>
          <w:bCs/>
        </w:rPr>
        <w:t>What to do:</w:t>
      </w:r>
      <w:r w:rsidRPr="00DC133B">
        <w:t xml:space="preserve"> Proactively re-frame your key takeaways.</w:t>
      </w:r>
    </w:p>
    <w:p w14:paraId="18FB43AA" w14:textId="77777777" w:rsidR="00DC133B" w:rsidRPr="00DC133B" w:rsidRDefault="00DC133B" w:rsidP="00DC133B">
      <w:pPr>
        <w:numPr>
          <w:ilvl w:val="1"/>
          <w:numId w:val="3"/>
        </w:numPr>
      </w:pPr>
      <w:r w:rsidRPr="00DC133B">
        <w:rPr>
          <w:b/>
          <w:bCs/>
        </w:rPr>
        <w:t>Instead of:</w:t>
      </w:r>
      <w:r w:rsidRPr="00DC133B">
        <w:t xml:space="preserve"> "Patients on MAT are less likely to complete treatment."</w:t>
      </w:r>
    </w:p>
    <w:p w14:paraId="7A5F96F6" w14:textId="77777777" w:rsidR="00DC133B" w:rsidRPr="00DC133B" w:rsidRDefault="00DC133B" w:rsidP="00DC133B">
      <w:pPr>
        <w:numPr>
          <w:ilvl w:val="1"/>
          <w:numId w:val="3"/>
        </w:numPr>
        <w:ind w:right="-90"/>
      </w:pPr>
      <w:r w:rsidRPr="00DC133B">
        <w:rPr>
          <w:b/>
          <w:bCs/>
        </w:rPr>
        <w:t>Say:</w:t>
      </w:r>
      <w:r w:rsidRPr="00DC133B">
        <w:t xml:space="preserve"> "Our system's definition of 'treatment completion' is flawed and is failing to capture the long-term success of patients who are stabilized on MAT."</w:t>
      </w:r>
    </w:p>
    <w:p w14:paraId="402F6323" w14:textId="77777777" w:rsidR="00DC133B" w:rsidRPr="00DC133B" w:rsidRDefault="00DC133B" w:rsidP="00DC133B">
      <w:pPr>
        <w:numPr>
          <w:ilvl w:val="1"/>
          <w:numId w:val="3"/>
        </w:numPr>
      </w:pPr>
      <w:r w:rsidRPr="00DC133B">
        <w:rPr>
          <w:b/>
          <w:bCs/>
        </w:rPr>
        <w:t>Instead of:</w:t>
      </w:r>
      <w:r w:rsidRPr="00DC133B">
        <w:t xml:space="preserve"> "Latine and American Indian/Alaska Native clients have worse treatment outcomes."</w:t>
      </w:r>
    </w:p>
    <w:p w14:paraId="74FB14A5" w14:textId="77777777" w:rsidR="00DC133B" w:rsidRPr="00DC133B" w:rsidRDefault="00DC133B" w:rsidP="00DC133B">
      <w:pPr>
        <w:numPr>
          <w:ilvl w:val="1"/>
          <w:numId w:val="3"/>
        </w:numPr>
      </w:pPr>
      <w:r w:rsidRPr="00DC133B">
        <w:rPr>
          <w:b/>
          <w:bCs/>
        </w:rPr>
        <w:t>Say:</w:t>
      </w:r>
      <w:r w:rsidRPr="00DC133B">
        <w:t xml:space="preserve"> "The treatment system is creating significant barriers to success for Latine and American Indian/Alaska Native clients, indicating a critical need for culturally-specific and competent care."</w:t>
      </w:r>
    </w:p>
    <w:p w14:paraId="5F540376" w14:textId="77777777" w:rsidR="00DC133B" w:rsidRPr="00DC133B" w:rsidRDefault="00DC133B" w:rsidP="00DC133B">
      <w:pPr>
        <w:numPr>
          <w:ilvl w:val="0"/>
          <w:numId w:val="3"/>
        </w:numPr>
      </w:pPr>
      <w:r w:rsidRPr="00DC133B">
        <w:rPr>
          <w:b/>
          <w:bCs/>
        </w:rPr>
        <w:t>Policy Implication:</w:t>
      </w:r>
      <w:r w:rsidRPr="00DC133B">
        <w:t xml:space="preserve"> This narrative shift moves the conversation away from blaming patients and towards holding systems accountable. It directs the foundation to invest in systemic change, such as advocating for new quality metrics for MAT and funding programs designed by and for the communities most affected by these disparities.</w:t>
      </w:r>
    </w:p>
    <w:p w14:paraId="7607B2A2" w14:textId="77777777" w:rsidR="001B79E4" w:rsidRDefault="001B79E4"/>
    <w:p w14:paraId="131C10EF" w14:textId="77777777" w:rsidR="001B79E4" w:rsidRDefault="001B79E4">
      <w:pPr>
        <w:rPr>
          <w:b/>
          <w:bCs/>
          <w:u w:val="single"/>
        </w:rPr>
      </w:pPr>
      <w:r>
        <w:rPr>
          <w:b/>
          <w:bCs/>
          <w:u w:val="single"/>
        </w:rPr>
        <w:t>ChatGPT response</w:t>
      </w:r>
    </w:p>
    <w:p w14:paraId="4B18DF08" w14:textId="77777777" w:rsidR="001B79E4" w:rsidRPr="001B79E4" w:rsidRDefault="001B79E4" w:rsidP="001B79E4">
      <w:r w:rsidRPr="001B79E4">
        <w:t xml:space="preserve">You're already doing a robust and thoughtful job—your work so far reflects a deep commitment to equity, rigor, and clarity. That said, from an </w:t>
      </w:r>
      <w:r w:rsidRPr="001B79E4">
        <w:rPr>
          <w:b/>
          <w:bCs/>
        </w:rPr>
        <w:t>equity-focused data analyst's lens</w:t>
      </w:r>
      <w:r w:rsidRPr="001B79E4">
        <w:t xml:space="preserve">, here are several </w:t>
      </w:r>
      <w:r w:rsidRPr="001B79E4">
        <w:rPr>
          <w:b/>
          <w:bCs/>
        </w:rPr>
        <w:t>constructive additions, reflections, and next steps</w:t>
      </w:r>
      <w:r w:rsidRPr="001B79E4">
        <w:t xml:space="preserve"> that could strengthen your analysis even further before presenting it to the foundation:</w:t>
      </w:r>
    </w:p>
    <w:p w14:paraId="143104CF" w14:textId="77777777" w:rsidR="001B79E4" w:rsidRPr="001B79E4" w:rsidRDefault="001B79E4" w:rsidP="001B79E4">
      <w:r w:rsidRPr="001B79E4">
        <w:pict w14:anchorId="6CEC3E12">
          <v:rect id="_x0000_i1057" style="width:0;height:1.5pt" o:hralign="center" o:hrstd="t" o:hr="t" fillcolor="#a0a0a0" stroked="f"/>
        </w:pict>
      </w:r>
    </w:p>
    <w:p w14:paraId="379236F1" w14:textId="77777777" w:rsidR="001B79E4" w:rsidRPr="001B79E4" w:rsidRDefault="001B79E4" w:rsidP="001B79E4">
      <w:pPr>
        <w:rPr>
          <w:b/>
          <w:bCs/>
        </w:rPr>
      </w:pPr>
      <w:r w:rsidRPr="001B79E4">
        <w:rPr>
          <w:rFonts w:ascii="Segoe UI Emoji" w:hAnsi="Segoe UI Emoji" w:cs="Segoe UI Emoji"/>
          <w:b/>
          <w:bCs/>
        </w:rPr>
        <w:t>🔍</w:t>
      </w:r>
      <w:r w:rsidRPr="001B79E4">
        <w:rPr>
          <w:b/>
          <w:bCs/>
        </w:rPr>
        <w:t xml:space="preserve"> 1. Dig Deeper Into Intersectionality</w:t>
      </w:r>
    </w:p>
    <w:p w14:paraId="7F5288CC" w14:textId="77777777" w:rsidR="001B79E4" w:rsidRPr="001B79E4" w:rsidRDefault="001B79E4" w:rsidP="001B79E4">
      <w:r w:rsidRPr="001B79E4">
        <w:t xml:space="preserve">Your analysis includes race/ethnicity, gender, housing, and age as separate variables. However, </w:t>
      </w:r>
      <w:r w:rsidRPr="001B79E4">
        <w:rPr>
          <w:b/>
          <w:bCs/>
        </w:rPr>
        <w:t>inequities are often magnified at the intersection</w:t>
      </w:r>
      <w:r w:rsidRPr="001B79E4">
        <w:t xml:space="preserve"> of these factors.</w:t>
      </w:r>
    </w:p>
    <w:p w14:paraId="1C5704BB" w14:textId="77777777" w:rsidR="001B79E4" w:rsidRPr="001B79E4" w:rsidRDefault="001B79E4" w:rsidP="001B79E4">
      <w:pPr>
        <w:rPr>
          <w:b/>
          <w:bCs/>
        </w:rPr>
      </w:pPr>
      <w:r w:rsidRPr="001B79E4">
        <w:rPr>
          <w:rFonts w:ascii="Segoe UI Emoji" w:hAnsi="Segoe UI Emoji" w:cs="Segoe UI Emoji"/>
          <w:b/>
          <w:bCs/>
        </w:rPr>
        <w:t>👇</w:t>
      </w:r>
      <w:r w:rsidRPr="001B79E4">
        <w:rPr>
          <w:b/>
          <w:bCs/>
        </w:rPr>
        <w:t xml:space="preserve"> Suggestions:</w:t>
      </w:r>
    </w:p>
    <w:p w14:paraId="515D2EE8" w14:textId="77777777" w:rsidR="001B79E4" w:rsidRPr="001B79E4" w:rsidRDefault="001B79E4" w:rsidP="001B79E4">
      <w:pPr>
        <w:numPr>
          <w:ilvl w:val="0"/>
          <w:numId w:val="4"/>
        </w:numPr>
      </w:pPr>
      <w:r w:rsidRPr="001B79E4">
        <w:rPr>
          <w:b/>
          <w:bCs/>
        </w:rPr>
        <w:t>Run interaction models</w:t>
      </w:r>
      <w:r w:rsidRPr="001B79E4">
        <w:t xml:space="preserve"> or cross-tabulations for:</w:t>
      </w:r>
    </w:p>
    <w:p w14:paraId="7EDD643A" w14:textId="77777777" w:rsidR="001B79E4" w:rsidRPr="001B79E4" w:rsidRDefault="001B79E4" w:rsidP="001B79E4">
      <w:pPr>
        <w:numPr>
          <w:ilvl w:val="1"/>
          <w:numId w:val="4"/>
        </w:numPr>
      </w:pPr>
      <w:r w:rsidRPr="001B79E4">
        <w:rPr>
          <w:b/>
          <w:bCs/>
        </w:rPr>
        <w:lastRenderedPageBreak/>
        <w:t>Race x Housing status</w:t>
      </w:r>
      <w:r w:rsidRPr="001B79E4">
        <w:t xml:space="preserve"> (e.g., are unhoused Latine clients less likely to receive MAT than unhoused White clients?)</w:t>
      </w:r>
    </w:p>
    <w:p w14:paraId="0E5AFF22" w14:textId="77777777" w:rsidR="001B79E4" w:rsidRPr="001B79E4" w:rsidRDefault="001B79E4" w:rsidP="001B79E4">
      <w:pPr>
        <w:numPr>
          <w:ilvl w:val="1"/>
          <w:numId w:val="4"/>
        </w:numPr>
      </w:pPr>
      <w:r w:rsidRPr="001B79E4">
        <w:rPr>
          <w:b/>
          <w:bCs/>
        </w:rPr>
        <w:t>Gender x Race</w:t>
      </w:r>
      <w:r w:rsidRPr="001B79E4">
        <w:t xml:space="preserve"> (e.g., do Black women face different outcomes than Black men?)</w:t>
      </w:r>
    </w:p>
    <w:p w14:paraId="53FA6AC8" w14:textId="77777777" w:rsidR="001B79E4" w:rsidRPr="001B79E4" w:rsidRDefault="001B79E4" w:rsidP="001B79E4">
      <w:pPr>
        <w:numPr>
          <w:ilvl w:val="0"/>
          <w:numId w:val="4"/>
        </w:numPr>
      </w:pPr>
      <w:r w:rsidRPr="001B79E4">
        <w:t xml:space="preserve">Consider a </w:t>
      </w:r>
      <w:r w:rsidRPr="001B79E4">
        <w:rPr>
          <w:b/>
          <w:bCs/>
        </w:rPr>
        <w:t>stratified analysis</w:t>
      </w:r>
      <w:r w:rsidRPr="001B79E4">
        <w:t xml:space="preserve"> to see if MAT access and outcomes differ within key subgroups, like:</w:t>
      </w:r>
    </w:p>
    <w:p w14:paraId="48DF53AC" w14:textId="77777777" w:rsidR="001B79E4" w:rsidRPr="001B79E4" w:rsidRDefault="001B79E4" w:rsidP="001B79E4">
      <w:pPr>
        <w:numPr>
          <w:ilvl w:val="1"/>
          <w:numId w:val="4"/>
        </w:numPr>
      </w:pPr>
      <w:r w:rsidRPr="001B79E4">
        <w:t>Young Latine men</w:t>
      </w:r>
    </w:p>
    <w:p w14:paraId="3A99BF3B" w14:textId="77777777" w:rsidR="001B79E4" w:rsidRPr="001B79E4" w:rsidRDefault="001B79E4" w:rsidP="001B79E4">
      <w:pPr>
        <w:numPr>
          <w:ilvl w:val="1"/>
          <w:numId w:val="4"/>
        </w:numPr>
      </w:pPr>
      <w:r w:rsidRPr="001B79E4">
        <w:t>Older Black women</w:t>
      </w:r>
    </w:p>
    <w:p w14:paraId="374A1ACB" w14:textId="77777777" w:rsidR="001B79E4" w:rsidRPr="001B79E4" w:rsidRDefault="001B79E4" w:rsidP="001B79E4">
      <w:pPr>
        <w:numPr>
          <w:ilvl w:val="1"/>
          <w:numId w:val="4"/>
        </w:numPr>
      </w:pPr>
      <w:r w:rsidRPr="001B79E4">
        <w:t>Unhoused youth</w:t>
      </w:r>
    </w:p>
    <w:p w14:paraId="30F2A7DA" w14:textId="77777777" w:rsidR="001B79E4" w:rsidRPr="001B79E4" w:rsidRDefault="001B79E4" w:rsidP="001B79E4">
      <w:r w:rsidRPr="001B79E4">
        <w:rPr>
          <w:b/>
          <w:bCs/>
        </w:rPr>
        <w:t>Why this matters</w:t>
      </w:r>
      <w:r w:rsidRPr="001B79E4">
        <w:t>: Equity gaps often become more visible—and actionable—when you examine compound disadvantage.</w:t>
      </w:r>
    </w:p>
    <w:p w14:paraId="681E2252" w14:textId="77777777" w:rsidR="001B79E4" w:rsidRPr="001B79E4" w:rsidRDefault="001B79E4" w:rsidP="001B79E4">
      <w:r w:rsidRPr="001B79E4">
        <w:pict w14:anchorId="3E162B08">
          <v:rect id="_x0000_i1058" style="width:0;height:1.5pt" o:hralign="center" o:hrstd="t" o:hr="t" fillcolor="#a0a0a0" stroked="f"/>
        </w:pict>
      </w:r>
    </w:p>
    <w:p w14:paraId="6717929B" w14:textId="77777777" w:rsidR="001B79E4" w:rsidRPr="001B79E4" w:rsidRDefault="001B79E4" w:rsidP="001B79E4">
      <w:pPr>
        <w:rPr>
          <w:b/>
          <w:bCs/>
        </w:rPr>
      </w:pPr>
      <w:r w:rsidRPr="001B79E4">
        <w:rPr>
          <w:rFonts w:ascii="Segoe UI Emoji" w:hAnsi="Segoe UI Emoji" w:cs="Segoe UI Emoji"/>
          <w:b/>
          <w:bCs/>
        </w:rPr>
        <w:t>🧠</w:t>
      </w:r>
      <w:r w:rsidRPr="001B79E4">
        <w:rPr>
          <w:b/>
          <w:bCs/>
        </w:rPr>
        <w:t xml:space="preserve"> 2. Incorporate Mental Health &amp; Co-occurring Conditions (if available)</w:t>
      </w:r>
    </w:p>
    <w:p w14:paraId="0E6036F4" w14:textId="77777777" w:rsidR="001B79E4" w:rsidRPr="001B79E4" w:rsidRDefault="001B79E4" w:rsidP="001B79E4">
      <w:r w:rsidRPr="001B79E4">
        <w:t xml:space="preserve">If the TEDS-D dataset includes any variables on </w:t>
      </w:r>
      <w:r w:rsidRPr="001B79E4">
        <w:rPr>
          <w:b/>
          <w:bCs/>
        </w:rPr>
        <w:t>co-occurring mental health diagnoses</w:t>
      </w:r>
      <w:r w:rsidRPr="001B79E4">
        <w:t xml:space="preserve"> or </w:t>
      </w:r>
      <w:r w:rsidRPr="001B79E4">
        <w:rPr>
          <w:b/>
          <w:bCs/>
        </w:rPr>
        <w:t>psychological distress</w:t>
      </w:r>
      <w:r w:rsidRPr="001B79E4">
        <w:t>, this could reveal critical barriers to both MAT uptake and treatment success.</w:t>
      </w:r>
    </w:p>
    <w:p w14:paraId="1C28DEAC" w14:textId="77777777" w:rsidR="001B79E4" w:rsidRPr="001B79E4" w:rsidRDefault="001B79E4" w:rsidP="001B79E4">
      <w:pPr>
        <w:rPr>
          <w:b/>
          <w:bCs/>
        </w:rPr>
      </w:pPr>
      <w:r w:rsidRPr="001B79E4">
        <w:rPr>
          <w:rFonts w:ascii="Segoe UI Emoji" w:hAnsi="Segoe UI Emoji" w:cs="Segoe UI Emoji"/>
          <w:b/>
          <w:bCs/>
        </w:rPr>
        <w:t>👇</w:t>
      </w:r>
      <w:r w:rsidRPr="001B79E4">
        <w:rPr>
          <w:b/>
          <w:bCs/>
        </w:rPr>
        <w:t xml:space="preserve"> Suggestions:</w:t>
      </w:r>
    </w:p>
    <w:p w14:paraId="66F33084" w14:textId="77777777" w:rsidR="001B79E4" w:rsidRPr="001B79E4" w:rsidRDefault="001B79E4" w:rsidP="001B79E4">
      <w:pPr>
        <w:numPr>
          <w:ilvl w:val="0"/>
          <w:numId w:val="5"/>
        </w:numPr>
      </w:pPr>
      <w:r w:rsidRPr="001B79E4">
        <w:t>Include mental health status as a control in regression models.</w:t>
      </w:r>
    </w:p>
    <w:p w14:paraId="1A993576" w14:textId="77777777" w:rsidR="001B79E4" w:rsidRPr="001B79E4" w:rsidRDefault="001B79E4" w:rsidP="001B79E4">
      <w:pPr>
        <w:numPr>
          <w:ilvl w:val="0"/>
          <w:numId w:val="5"/>
        </w:numPr>
      </w:pPr>
      <w:r w:rsidRPr="001B79E4">
        <w:t>Describe how co-occurring disorders might disproportionately affect groups already experiencing inequities.</w:t>
      </w:r>
    </w:p>
    <w:p w14:paraId="02A4ACDD" w14:textId="77777777" w:rsidR="001B79E4" w:rsidRPr="001B79E4" w:rsidRDefault="001B79E4" w:rsidP="001B79E4">
      <w:r w:rsidRPr="001B79E4">
        <w:rPr>
          <w:b/>
          <w:bCs/>
        </w:rPr>
        <w:t>Why this matters</w:t>
      </w:r>
      <w:r w:rsidRPr="001B79E4">
        <w:t>: These factors often compound structural barriers and could partially explain differences in treatment discontinuation or access to MAT.</w:t>
      </w:r>
    </w:p>
    <w:p w14:paraId="02884838" w14:textId="77777777" w:rsidR="001B79E4" w:rsidRPr="001B79E4" w:rsidRDefault="001B79E4" w:rsidP="001B79E4">
      <w:r w:rsidRPr="001B79E4">
        <w:pict w14:anchorId="737D9A5C">
          <v:rect id="_x0000_i1059" style="width:0;height:1.5pt" o:hralign="center" o:hrstd="t" o:hr="t" fillcolor="#a0a0a0" stroked="f"/>
        </w:pict>
      </w:r>
    </w:p>
    <w:p w14:paraId="41474D16" w14:textId="77777777" w:rsidR="001B79E4" w:rsidRPr="001B79E4" w:rsidRDefault="001B79E4" w:rsidP="001B79E4">
      <w:pPr>
        <w:rPr>
          <w:b/>
          <w:bCs/>
        </w:rPr>
      </w:pPr>
      <w:r w:rsidRPr="001B79E4">
        <w:rPr>
          <w:rFonts w:ascii="Segoe UI Emoji" w:hAnsi="Segoe UI Emoji" w:cs="Segoe UI Emoji"/>
          <w:b/>
          <w:bCs/>
        </w:rPr>
        <w:t>🗺️</w:t>
      </w:r>
      <w:r w:rsidRPr="001B79E4">
        <w:rPr>
          <w:b/>
          <w:bCs/>
        </w:rPr>
        <w:t xml:space="preserve"> 3. Geographic Variation &amp; Provider Landscape</w:t>
      </w:r>
    </w:p>
    <w:p w14:paraId="67650D11" w14:textId="77777777" w:rsidR="001B79E4" w:rsidRPr="001B79E4" w:rsidRDefault="001B79E4" w:rsidP="001B79E4">
      <w:r w:rsidRPr="001B79E4">
        <w:t xml:space="preserve">Your findings suggest </w:t>
      </w:r>
      <w:r w:rsidRPr="001B79E4">
        <w:rPr>
          <w:b/>
          <w:bCs/>
        </w:rPr>
        <w:t>systemic gaps</w:t>
      </w:r>
      <w:r w:rsidRPr="001B79E4">
        <w:t xml:space="preserve">, but it’s helpful to clarify </w:t>
      </w:r>
      <w:r w:rsidRPr="001B79E4">
        <w:rPr>
          <w:i/>
          <w:iCs/>
        </w:rPr>
        <w:t>where</w:t>
      </w:r>
      <w:r w:rsidRPr="001B79E4">
        <w:t xml:space="preserve"> those gaps may be located.</w:t>
      </w:r>
    </w:p>
    <w:p w14:paraId="2AB333B2" w14:textId="77777777" w:rsidR="001B79E4" w:rsidRPr="001B79E4" w:rsidRDefault="001B79E4" w:rsidP="001B79E4">
      <w:pPr>
        <w:rPr>
          <w:b/>
          <w:bCs/>
        </w:rPr>
      </w:pPr>
      <w:r w:rsidRPr="001B79E4">
        <w:rPr>
          <w:rFonts w:ascii="Segoe UI Emoji" w:hAnsi="Segoe UI Emoji" w:cs="Segoe UI Emoji"/>
          <w:b/>
          <w:bCs/>
        </w:rPr>
        <w:t>👇</w:t>
      </w:r>
      <w:r w:rsidRPr="001B79E4">
        <w:rPr>
          <w:b/>
          <w:bCs/>
        </w:rPr>
        <w:t xml:space="preserve"> Suggestions:</w:t>
      </w:r>
    </w:p>
    <w:p w14:paraId="37D30A6F" w14:textId="77777777" w:rsidR="001B79E4" w:rsidRPr="001B79E4" w:rsidRDefault="001B79E4" w:rsidP="001B79E4">
      <w:pPr>
        <w:numPr>
          <w:ilvl w:val="0"/>
          <w:numId w:val="6"/>
        </w:numPr>
      </w:pPr>
      <w:r w:rsidRPr="001B79E4">
        <w:t>If you have geographic variables (e.g., CBSA, county codes), assess:</w:t>
      </w:r>
    </w:p>
    <w:p w14:paraId="364404D7" w14:textId="77777777" w:rsidR="001B79E4" w:rsidRPr="001B79E4" w:rsidRDefault="001B79E4" w:rsidP="001B79E4">
      <w:pPr>
        <w:numPr>
          <w:ilvl w:val="1"/>
          <w:numId w:val="6"/>
        </w:numPr>
      </w:pPr>
      <w:r w:rsidRPr="001B79E4">
        <w:t>Regional variation in MAT access (urban vs. rural).</w:t>
      </w:r>
    </w:p>
    <w:p w14:paraId="6A7A6EA4" w14:textId="77777777" w:rsidR="001B79E4" w:rsidRPr="001B79E4" w:rsidRDefault="001B79E4" w:rsidP="001B79E4">
      <w:pPr>
        <w:numPr>
          <w:ilvl w:val="1"/>
          <w:numId w:val="6"/>
        </w:numPr>
      </w:pPr>
      <w:r w:rsidRPr="001B79E4">
        <w:lastRenderedPageBreak/>
        <w:t>“MAT deserts” vs. areas with strong infrastructure.</w:t>
      </w:r>
    </w:p>
    <w:p w14:paraId="75F36ECE" w14:textId="77777777" w:rsidR="001B79E4" w:rsidRPr="001B79E4" w:rsidRDefault="001B79E4" w:rsidP="001B79E4">
      <w:pPr>
        <w:numPr>
          <w:ilvl w:val="0"/>
          <w:numId w:val="6"/>
        </w:numPr>
      </w:pPr>
      <w:r w:rsidRPr="001B79E4">
        <w:t>Consider layering in provider availability or waivered prescriber density (even descriptively) by region or county.</w:t>
      </w:r>
    </w:p>
    <w:p w14:paraId="16EEBDE3" w14:textId="77777777" w:rsidR="001B79E4" w:rsidRPr="001B79E4" w:rsidRDefault="001B79E4" w:rsidP="001B79E4">
      <w:r w:rsidRPr="001B79E4">
        <w:rPr>
          <w:b/>
          <w:bCs/>
        </w:rPr>
        <w:t>Why this matters</w:t>
      </w:r>
      <w:r w:rsidRPr="001B79E4">
        <w:t xml:space="preserve">: It connects individual-level inequities to </w:t>
      </w:r>
      <w:r w:rsidRPr="001B79E4">
        <w:rPr>
          <w:b/>
          <w:bCs/>
        </w:rPr>
        <w:t>place-based access gaps</w:t>
      </w:r>
      <w:r w:rsidRPr="001B79E4">
        <w:t xml:space="preserve"> and informs place-targeted solutions.</w:t>
      </w:r>
    </w:p>
    <w:p w14:paraId="5FF77A6A" w14:textId="77777777" w:rsidR="001B79E4" w:rsidRPr="001B79E4" w:rsidRDefault="001B79E4" w:rsidP="001B79E4">
      <w:r w:rsidRPr="001B79E4">
        <w:pict w14:anchorId="3497AE10">
          <v:rect id="_x0000_i1060" style="width:0;height:1.5pt" o:hralign="center" o:hrstd="t" o:hr="t" fillcolor="#a0a0a0" stroked="f"/>
        </w:pict>
      </w:r>
    </w:p>
    <w:p w14:paraId="34202341" w14:textId="77777777" w:rsidR="001B79E4" w:rsidRPr="001B79E4" w:rsidRDefault="001B79E4" w:rsidP="001B79E4">
      <w:pPr>
        <w:rPr>
          <w:b/>
          <w:bCs/>
        </w:rPr>
      </w:pPr>
      <w:r w:rsidRPr="001B79E4">
        <w:rPr>
          <w:rFonts w:ascii="Segoe UI Emoji" w:hAnsi="Segoe UI Emoji" w:cs="Segoe UI Emoji"/>
          <w:b/>
          <w:bCs/>
        </w:rPr>
        <w:t>📊</w:t>
      </w:r>
      <w:r w:rsidRPr="001B79E4">
        <w:rPr>
          <w:b/>
          <w:bCs/>
        </w:rPr>
        <w:t xml:space="preserve"> 4. Build Equity-Specific Metrics</w:t>
      </w:r>
    </w:p>
    <w:p w14:paraId="4FF539EC" w14:textId="77777777" w:rsidR="001B79E4" w:rsidRPr="001B79E4" w:rsidRDefault="001B79E4" w:rsidP="001B79E4">
      <w:r w:rsidRPr="001B79E4">
        <w:t xml:space="preserve">Traditional success metrics like “treatment completion” miss the mark for many populations. Propose or test </w:t>
      </w:r>
      <w:r w:rsidRPr="001B79E4">
        <w:rPr>
          <w:b/>
          <w:bCs/>
        </w:rPr>
        <w:t>alternative indicators of success</w:t>
      </w:r>
      <w:r w:rsidRPr="001B79E4">
        <w:t xml:space="preserve"> that better reflect lived realities.</w:t>
      </w:r>
    </w:p>
    <w:p w14:paraId="0DBBED40" w14:textId="77777777" w:rsidR="001B79E4" w:rsidRPr="001B79E4" w:rsidRDefault="001B79E4" w:rsidP="001B79E4">
      <w:pPr>
        <w:rPr>
          <w:b/>
          <w:bCs/>
        </w:rPr>
      </w:pPr>
      <w:r w:rsidRPr="001B79E4">
        <w:rPr>
          <w:rFonts w:ascii="Segoe UI Emoji" w:hAnsi="Segoe UI Emoji" w:cs="Segoe UI Emoji"/>
          <w:b/>
          <w:bCs/>
        </w:rPr>
        <w:t>👇</w:t>
      </w:r>
      <w:r w:rsidRPr="001B79E4">
        <w:rPr>
          <w:b/>
          <w:bCs/>
        </w:rPr>
        <w:t xml:space="preserve"> Suggestions:</w:t>
      </w:r>
    </w:p>
    <w:p w14:paraId="7D8973E8" w14:textId="77777777" w:rsidR="001B79E4" w:rsidRPr="001B79E4" w:rsidRDefault="001B79E4" w:rsidP="001B79E4">
      <w:pPr>
        <w:numPr>
          <w:ilvl w:val="0"/>
          <w:numId w:val="7"/>
        </w:numPr>
      </w:pPr>
      <w:r w:rsidRPr="001B79E4">
        <w:t>% of MAT clients retained in care beyond 90 days.</w:t>
      </w:r>
    </w:p>
    <w:p w14:paraId="1D308C4F" w14:textId="77777777" w:rsidR="001B79E4" w:rsidRPr="001B79E4" w:rsidRDefault="001B79E4" w:rsidP="001B79E4">
      <w:pPr>
        <w:numPr>
          <w:ilvl w:val="0"/>
          <w:numId w:val="7"/>
        </w:numPr>
      </w:pPr>
      <w:r w:rsidRPr="001B79E4">
        <w:t>Change in employment or housing status during treatment.</w:t>
      </w:r>
    </w:p>
    <w:p w14:paraId="6A838472" w14:textId="77777777" w:rsidR="001B79E4" w:rsidRPr="001B79E4" w:rsidRDefault="001B79E4" w:rsidP="001B79E4">
      <w:pPr>
        <w:numPr>
          <w:ilvl w:val="0"/>
          <w:numId w:val="7"/>
        </w:numPr>
      </w:pPr>
      <w:r w:rsidRPr="001B79E4">
        <w:t>Rate of voluntary program transfer (a proxy for self-directed engagement).</w:t>
      </w:r>
    </w:p>
    <w:p w14:paraId="527CE9C5" w14:textId="77777777" w:rsidR="001B79E4" w:rsidRPr="001B79E4" w:rsidRDefault="001B79E4" w:rsidP="001B79E4">
      <w:r w:rsidRPr="001B79E4">
        <w:rPr>
          <w:b/>
          <w:bCs/>
        </w:rPr>
        <w:t>Why this matters</w:t>
      </w:r>
      <w:r w:rsidRPr="001B79E4">
        <w:t>: This shifts the lens from “Did they finish?” to “Did they stabilize, engage, and avoid harm?”</w:t>
      </w:r>
    </w:p>
    <w:p w14:paraId="1D211B09" w14:textId="77777777" w:rsidR="001B79E4" w:rsidRPr="001B79E4" w:rsidRDefault="001B79E4" w:rsidP="001B79E4">
      <w:r w:rsidRPr="001B79E4">
        <w:pict w14:anchorId="39FD725B">
          <v:rect id="_x0000_i1061" style="width:0;height:1.5pt" o:hralign="center" o:hrstd="t" o:hr="t" fillcolor="#a0a0a0" stroked="f"/>
        </w:pict>
      </w:r>
    </w:p>
    <w:p w14:paraId="1A16F466" w14:textId="77777777" w:rsidR="001B79E4" w:rsidRPr="001B79E4" w:rsidRDefault="001B79E4" w:rsidP="001B79E4">
      <w:pPr>
        <w:rPr>
          <w:b/>
          <w:bCs/>
        </w:rPr>
      </w:pPr>
      <w:r w:rsidRPr="001B79E4">
        <w:rPr>
          <w:rFonts w:ascii="Segoe UI Emoji" w:hAnsi="Segoe UI Emoji" w:cs="Segoe UI Emoji"/>
          <w:b/>
          <w:bCs/>
        </w:rPr>
        <w:t>📣</w:t>
      </w:r>
      <w:r w:rsidRPr="001B79E4">
        <w:rPr>
          <w:b/>
          <w:bCs/>
        </w:rPr>
        <w:t xml:space="preserve"> 5. Include Voices and Lived Experience (if possible)</w:t>
      </w:r>
    </w:p>
    <w:p w14:paraId="7DAAB582" w14:textId="77777777" w:rsidR="001B79E4" w:rsidRPr="001B79E4" w:rsidRDefault="001B79E4" w:rsidP="001B79E4">
      <w:r w:rsidRPr="001B79E4">
        <w:t>Quantitative analyses are critical—but data without context can flatten complexity.</w:t>
      </w:r>
    </w:p>
    <w:p w14:paraId="19022EDF" w14:textId="77777777" w:rsidR="001B79E4" w:rsidRPr="001B79E4" w:rsidRDefault="001B79E4" w:rsidP="001B79E4">
      <w:pPr>
        <w:rPr>
          <w:b/>
          <w:bCs/>
        </w:rPr>
      </w:pPr>
      <w:r w:rsidRPr="001B79E4">
        <w:rPr>
          <w:rFonts w:ascii="Segoe UI Emoji" w:hAnsi="Segoe UI Emoji" w:cs="Segoe UI Emoji"/>
          <w:b/>
          <w:bCs/>
        </w:rPr>
        <w:t>👇</w:t>
      </w:r>
      <w:r w:rsidRPr="001B79E4">
        <w:rPr>
          <w:b/>
          <w:bCs/>
        </w:rPr>
        <w:t xml:space="preserve"> Suggestions:</w:t>
      </w:r>
    </w:p>
    <w:p w14:paraId="03CCD132" w14:textId="77777777" w:rsidR="001B79E4" w:rsidRPr="001B79E4" w:rsidRDefault="001B79E4" w:rsidP="001B79E4">
      <w:pPr>
        <w:numPr>
          <w:ilvl w:val="0"/>
          <w:numId w:val="8"/>
        </w:numPr>
      </w:pPr>
      <w:r w:rsidRPr="001B79E4">
        <w:t>Integrate qualitative insights, even from published literature or grantee reports, that speak to:</w:t>
      </w:r>
    </w:p>
    <w:p w14:paraId="638216C5" w14:textId="77777777" w:rsidR="001B79E4" w:rsidRPr="001B79E4" w:rsidRDefault="001B79E4" w:rsidP="001B79E4">
      <w:pPr>
        <w:numPr>
          <w:ilvl w:val="1"/>
          <w:numId w:val="8"/>
        </w:numPr>
      </w:pPr>
      <w:r w:rsidRPr="001B79E4">
        <w:t>Stigma within treatment settings.</w:t>
      </w:r>
    </w:p>
    <w:p w14:paraId="10B078D5" w14:textId="77777777" w:rsidR="001B79E4" w:rsidRPr="001B79E4" w:rsidRDefault="001B79E4" w:rsidP="001B79E4">
      <w:pPr>
        <w:numPr>
          <w:ilvl w:val="1"/>
          <w:numId w:val="8"/>
        </w:numPr>
      </w:pPr>
      <w:r w:rsidRPr="001B79E4">
        <w:t>Barriers faced by youth or communities of color.</w:t>
      </w:r>
    </w:p>
    <w:p w14:paraId="5D18411E" w14:textId="77777777" w:rsidR="001B79E4" w:rsidRPr="001B79E4" w:rsidRDefault="001B79E4" w:rsidP="001B79E4">
      <w:pPr>
        <w:numPr>
          <w:ilvl w:val="1"/>
          <w:numId w:val="8"/>
        </w:numPr>
      </w:pPr>
      <w:r w:rsidRPr="001B79E4">
        <w:t>Cultural mismatches in MAT delivery.</w:t>
      </w:r>
    </w:p>
    <w:p w14:paraId="06870F84" w14:textId="77777777" w:rsidR="001B79E4" w:rsidRPr="001B79E4" w:rsidRDefault="001B79E4" w:rsidP="001B79E4">
      <w:r w:rsidRPr="001B79E4">
        <w:rPr>
          <w:b/>
          <w:bCs/>
        </w:rPr>
        <w:t>Why this matters</w:t>
      </w:r>
      <w:r w:rsidRPr="001B79E4">
        <w:t xml:space="preserve">: It centers </w:t>
      </w:r>
      <w:r w:rsidRPr="001B79E4">
        <w:rPr>
          <w:b/>
          <w:bCs/>
        </w:rPr>
        <w:t>community-defined success</w:t>
      </w:r>
      <w:r w:rsidRPr="001B79E4">
        <w:t>, not just system-defined metrics.</w:t>
      </w:r>
    </w:p>
    <w:p w14:paraId="486FD694" w14:textId="77777777" w:rsidR="001B79E4" w:rsidRDefault="001B79E4"/>
    <w:p w14:paraId="2D407654" w14:textId="77777777" w:rsidR="001B79E4" w:rsidRDefault="001B79E4"/>
    <w:p w14:paraId="5F5191A8" w14:textId="002C321B" w:rsidR="001B79E4" w:rsidRPr="001B79E4" w:rsidRDefault="001B79E4">
      <w:pPr>
        <w:rPr>
          <w:b/>
          <w:bCs/>
        </w:rPr>
      </w:pPr>
      <w:r w:rsidRPr="001B79E4">
        <w:rPr>
          <w:rFonts w:ascii="Segoe UI Emoji" w:hAnsi="Segoe UI Emoji" w:cs="Segoe UI Emoji"/>
          <w:b/>
          <w:bCs/>
        </w:rPr>
        <w:lastRenderedPageBreak/>
        <w:t>📌</w:t>
      </w:r>
      <w:r w:rsidRPr="001B79E4">
        <w:rPr>
          <w:b/>
          <w:bCs/>
        </w:rPr>
        <w:t xml:space="preserve"> Summary of Equity-Focused Additions to Consider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38"/>
        <w:gridCol w:w="3902"/>
        <w:gridCol w:w="3010"/>
      </w:tblGrid>
      <w:tr w:rsidR="001B79E4" w:rsidRPr="001B79E4" w14:paraId="678A8455" w14:textId="77777777" w:rsidTr="001B79E4">
        <w:trPr>
          <w:tblHeader/>
          <w:tblCellSpacing w:w="15" w:type="dxa"/>
        </w:trPr>
        <w:tc>
          <w:tcPr>
            <w:tcW w:w="0" w:type="auto"/>
            <w:vAlign w:val="center"/>
            <w:hideMark/>
          </w:tcPr>
          <w:p w14:paraId="4B3847F5" w14:textId="77777777" w:rsidR="001B79E4" w:rsidRPr="001B79E4" w:rsidRDefault="001B79E4" w:rsidP="001B79E4">
            <w:pPr>
              <w:rPr>
                <w:b/>
                <w:bCs/>
              </w:rPr>
            </w:pPr>
            <w:r w:rsidRPr="001B79E4">
              <w:rPr>
                <w:b/>
                <w:bCs/>
              </w:rPr>
              <w:t>Opportunity</w:t>
            </w:r>
          </w:p>
        </w:tc>
        <w:tc>
          <w:tcPr>
            <w:tcW w:w="0" w:type="auto"/>
            <w:vAlign w:val="center"/>
            <w:hideMark/>
          </w:tcPr>
          <w:p w14:paraId="492D68F5" w14:textId="77777777" w:rsidR="001B79E4" w:rsidRPr="001B79E4" w:rsidRDefault="001B79E4" w:rsidP="001B79E4">
            <w:pPr>
              <w:rPr>
                <w:b/>
                <w:bCs/>
              </w:rPr>
            </w:pPr>
            <w:r w:rsidRPr="001B79E4">
              <w:rPr>
                <w:b/>
                <w:bCs/>
              </w:rPr>
              <w:t>Why It Matters</w:t>
            </w:r>
          </w:p>
        </w:tc>
        <w:tc>
          <w:tcPr>
            <w:tcW w:w="0" w:type="auto"/>
            <w:vAlign w:val="center"/>
            <w:hideMark/>
          </w:tcPr>
          <w:p w14:paraId="6E204882" w14:textId="77777777" w:rsidR="001B79E4" w:rsidRPr="001B79E4" w:rsidRDefault="001B79E4" w:rsidP="001B79E4">
            <w:pPr>
              <w:rPr>
                <w:b/>
                <w:bCs/>
              </w:rPr>
            </w:pPr>
            <w:r w:rsidRPr="001B79E4">
              <w:rPr>
                <w:b/>
                <w:bCs/>
              </w:rPr>
              <w:t>Action</w:t>
            </w:r>
          </w:p>
        </w:tc>
      </w:tr>
      <w:tr w:rsidR="001B79E4" w:rsidRPr="001B79E4" w14:paraId="2647DB5F" w14:textId="77777777" w:rsidTr="001B79E4">
        <w:trPr>
          <w:tblCellSpacing w:w="15" w:type="dxa"/>
        </w:trPr>
        <w:tc>
          <w:tcPr>
            <w:tcW w:w="0" w:type="auto"/>
            <w:vAlign w:val="center"/>
            <w:hideMark/>
          </w:tcPr>
          <w:p w14:paraId="48039A4E" w14:textId="77777777" w:rsidR="001B79E4" w:rsidRPr="001B79E4" w:rsidRDefault="001B79E4" w:rsidP="001B79E4">
            <w:r w:rsidRPr="001B79E4">
              <w:rPr>
                <w:b/>
                <w:bCs/>
              </w:rPr>
              <w:t>Intersectional Analysis</w:t>
            </w:r>
          </w:p>
        </w:tc>
        <w:tc>
          <w:tcPr>
            <w:tcW w:w="0" w:type="auto"/>
            <w:vAlign w:val="center"/>
            <w:hideMark/>
          </w:tcPr>
          <w:p w14:paraId="4D436B9E" w14:textId="77777777" w:rsidR="001B79E4" w:rsidRPr="001B79E4" w:rsidRDefault="001B79E4" w:rsidP="001B79E4">
            <w:r w:rsidRPr="001B79E4">
              <w:t>Exposes compounding barriers across subgroups</w:t>
            </w:r>
          </w:p>
        </w:tc>
        <w:tc>
          <w:tcPr>
            <w:tcW w:w="0" w:type="auto"/>
            <w:vAlign w:val="center"/>
            <w:hideMark/>
          </w:tcPr>
          <w:p w14:paraId="2E84589A" w14:textId="77777777" w:rsidR="001B79E4" w:rsidRPr="001B79E4" w:rsidRDefault="001B79E4" w:rsidP="001B79E4">
            <w:r w:rsidRPr="001B79E4">
              <w:t>Run cross-tabs or interaction terms</w:t>
            </w:r>
          </w:p>
        </w:tc>
      </w:tr>
      <w:tr w:rsidR="001B79E4" w:rsidRPr="001B79E4" w14:paraId="2AC5D695" w14:textId="77777777" w:rsidTr="001B79E4">
        <w:trPr>
          <w:tblCellSpacing w:w="15" w:type="dxa"/>
        </w:trPr>
        <w:tc>
          <w:tcPr>
            <w:tcW w:w="0" w:type="auto"/>
            <w:vAlign w:val="center"/>
            <w:hideMark/>
          </w:tcPr>
          <w:p w14:paraId="2DB793AB" w14:textId="77777777" w:rsidR="001B79E4" w:rsidRPr="001B79E4" w:rsidRDefault="001B79E4" w:rsidP="001B79E4">
            <w:r w:rsidRPr="001B79E4">
              <w:rPr>
                <w:b/>
                <w:bCs/>
              </w:rPr>
              <w:t>Mental Health Integration</w:t>
            </w:r>
          </w:p>
        </w:tc>
        <w:tc>
          <w:tcPr>
            <w:tcW w:w="0" w:type="auto"/>
            <w:vAlign w:val="center"/>
            <w:hideMark/>
          </w:tcPr>
          <w:p w14:paraId="76A8DDE3" w14:textId="77777777" w:rsidR="001B79E4" w:rsidRPr="001B79E4" w:rsidRDefault="001B79E4" w:rsidP="001B79E4">
            <w:r w:rsidRPr="001B79E4">
              <w:t>Co-occurring needs shape access &amp; outcomes</w:t>
            </w:r>
          </w:p>
        </w:tc>
        <w:tc>
          <w:tcPr>
            <w:tcW w:w="0" w:type="auto"/>
            <w:vAlign w:val="center"/>
            <w:hideMark/>
          </w:tcPr>
          <w:p w14:paraId="47553457" w14:textId="77777777" w:rsidR="001B79E4" w:rsidRPr="001B79E4" w:rsidRDefault="001B79E4" w:rsidP="001B79E4">
            <w:r w:rsidRPr="001B79E4">
              <w:t>Include if available in TEDS-D</w:t>
            </w:r>
          </w:p>
        </w:tc>
      </w:tr>
      <w:tr w:rsidR="001B79E4" w:rsidRPr="001B79E4" w14:paraId="31350862" w14:textId="77777777" w:rsidTr="001B79E4">
        <w:trPr>
          <w:tblCellSpacing w:w="15" w:type="dxa"/>
        </w:trPr>
        <w:tc>
          <w:tcPr>
            <w:tcW w:w="0" w:type="auto"/>
            <w:vAlign w:val="center"/>
            <w:hideMark/>
          </w:tcPr>
          <w:p w14:paraId="02C5D7F7" w14:textId="77777777" w:rsidR="001B79E4" w:rsidRPr="001B79E4" w:rsidRDefault="001B79E4" w:rsidP="001B79E4">
            <w:r w:rsidRPr="001B79E4">
              <w:rPr>
                <w:b/>
                <w:bCs/>
              </w:rPr>
              <w:t>Geographic Patterns</w:t>
            </w:r>
          </w:p>
        </w:tc>
        <w:tc>
          <w:tcPr>
            <w:tcW w:w="0" w:type="auto"/>
            <w:vAlign w:val="center"/>
            <w:hideMark/>
          </w:tcPr>
          <w:p w14:paraId="7AFADD4B" w14:textId="77777777" w:rsidR="001B79E4" w:rsidRPr="001B79E4" w:rsidRDefault="001B79E4" w:rsidP="001B79E4">
            <w:r w:rsidRPr="001B79E4">
              <w:t>Structural gaps often have spatial roots</w:t>
            </w:r>
          </w:p>
        </w:tc>
        <w:tc>
          <w:tcPr>
            <w:tcW w:w="0" w:type="auto"/>
            <w:vAlign w:val="center"/>
            <w:hideMark/>
          </w:tcPr>
          <w:p w14:paraId="050879CB" w14:textId="77777777" w:rsidR="001B79E4" w:rsidRPr="001B79E4" w:rsidRDefault="001B79E4" w:rsidP="001B79E4">
            <w:r w:rsidRPr="001B79E4">
              <w:t>Use CBSA/county if available</w:t>
            </w:r>
          </w:p>
        </w:tc>
      </w:tr>
      <w:tr w:rsidR="001B79E4" w:rsidRPr="001B79E4" w14:paraId="0C27D3EF" w14:textId="77777777" w:rsidTr="001B79E4">
        <w:trPr>
          <w:tblCellSpacing w:w="15" w:type="dxa"/>
        </w:trPr>
        <w:tc>
          <w:tcPr>
            <w:tcW w:w="0" w:type="auto"/>
            <w:vAlign w:val="center"/>
            <w:hideMark/>
          </w:tcPr>
          <w:p w14:paraId="5A8F74D0" w14:textId="77777777" w:rsidR="001B79E4" w:rsidRPr="001B79E4" w:rsidRDefault="001B79E4" w:rsidP="001B79E4">
            <w:r w:rsidRPr="001B79E4">
              <w:rPr>
                <w:b/>
                <w:bCs/>
              </w:rPr>
              <w:t>New Success Metrics</w:t>
            </w:r>
          </w:p>
        </w:tc>
        <w:tc>
          <w:tcPr>
            <w:tcW w:w="0" w:type="auto"/>
            <w:vAlign w:val="center"/>
            <w:hideMark/>
          </w:tcPr>
          <w:p w14:paraId="4C8127E7" w14:textId="77777777" w:rsidR="001B79E4" w:rsidRPr="001B79E4" w:rsidRDefault="001B79E4" w:rsidP="001B79E4">
            <w:r w:rsidRPr="001B79E4">
              <w:t>Better aligns with recovery and harm reduction</w:t>
            </w:r>
          </w:p>
        </w:tc>
        <w:tc>
          <w:tcPr>
            <w:tcW w:w="0" w:type="auto"/>
            <w:vAlign w:val="center"/>
            <w:hideMark/>
          </w:tcPr>
          <w:p w14:paraId="11E4A8AE" w14:textId="77777777" w:rsidR="001B79E4" w:rsidRPr="001B79E4" w:rsidRDefault="001B79E4" w:rsidP="001B79E4">
            <w:r w:rsidRPr="001B79E4">
              <w:t>Propose or test alternatives</w:t>
            </w:r>
          </w:p>
        </w:tc>
      </w:tr>
      <w:tr w:rsidR="001B79E4" w:rsidRPr="001B79E4" w14:paraId="0EFAA017" w14:textId="77777777" w:rsidTr="001B79E4">
        <w:trPr>
          <w:tblCellSpacing w:w="15" w:type="dxa"/>
        </w:trPr>
        <w:tc>
          <w:tcPr>
            <w:tcW w:w="0" w:type="auto"/>
            <w:vAlign w:val="center"/>
            <w:hideMark/>
          </w:tcPr>
          <w:p w14:paraId="6EFA3E8E" w14:textId="77777777" w:rsidR="001B79E4" w:rsidRPr="001B79E4" w:rsidRDefault="001B79E4" w:rsidP="001B79E4">
            <w:r w:rsidRPr="001B79E4">
              <w:rPr>
                <w:b/>
                <w:bCs/>
              </w:rPr>
              <w:t>Lived Experience</w:t>
            </w:r>
          </w:p>
        </w:tc>
        <w:tc>
          <w:tcPr>
            <w:tcW w:w="0" w:type="auto"/>
            <w:vAlign w:val="center"/>
            <w:hideMark/>
          </w:tcPr>
          <w:p w14:paraId="113EB969" w14:textId="77777777" w:rsidR="001B79E4" w:rsidRPr="001B79E4" w:rsidRDefault="001B79E4" w:rsidP="001B79E4">
            <w:r w:rsidRPr="001B79E4">
              <w:t>Provides depth, context, and accountability</w:t>
            </w:r>
          </w:p>
        </w:tc>
        <w:tc>
          <w:tcPr>
            <w:tcW w:w="0" w:type="auto"/>
            <w:vAlign w:val="center"/>
            <w:hideMark/>
          </w:tcPr>
          <w:p w14:paraId="2E5BB34F" w14:textId="77777777" w:rsidR="001B79E4" w:rsidRPr="001B79E4" w:rsidRDefault="001B79E4" w:rsidP="001B79E4">
            <w:r w:rsidRPr="001B79E4">
              <w:t>Supplement with qualitative insights</w:t>
            </w:r>
          </w:p>
        </w:tc>
      </w:tr>
    </w:tbl>
    <w:p w14:paraId="344382D1" w14:textId="256FADEB" w:rsidR="00DC133B" w:rsidRDefault="00DC133B">
      <w:r>
        <w:br w:type="page"/>
      </w:r>
    </w:p>
    <w:p w14:paraId="035499AB" w14:textId="3AE847A5" w:rsidR="00331978" w:rsidRPr="00331978" w:rsidRDefault="00331978" w:rsidP="00331978">
      <w:pPr>
        <w:spacing w:after="0"/>
        <w:rPr>
          <w:i/>
          <w:iCs/>
        </w:rPr>
      </w:pPr>
      <w:r>
        <w:rPr>
          <w:i/>
          <w:iCs/>
        </w:rPr>
        <w:lastRenderedPageBreak/>
        <w:t xml:space="preserve">Prompt: </w:t>
      </w:r>
      <w:r w:rsidR="001B79E4">
        <w:rPr>
          <w:i/>
          <w:iCs/>
        </w:rPr>
        <w:t>N</w:t>
      </w:r>
      <w:r w:rsidRPr="00331978">
        <w:rPr>
          <w:i/>
          <w:iCs/>
        </w:rPr>
        <w:t>ow act as a research reviewer. Based on the information I've presented thus far, what specific limitations or caveats should be noted in the report?</w:t>
      </w:r>
    </w:p>
    <w:p w14:paraId="61784A9E" w14:textId="3042548C" w:rsidR="00331978" w:rsidRDefault="00000000" w:rsidP="00DC133B">
      <w:r>
        <w:pict w14:anchorId="1B4E91F6">
          <v:rect id="_x0000_i1026" style="width:0;height:1.5pt" o:hralign="center" o:hrstd="t" o:hr="t" fillcolor="#a0a0a0" stroked="f"/>
        </w:pict>
      </w:r>
    </w:p>
    <w:p w14:paraId="5C81D58B" w14:textId="58FC2E54" w:rsidR="001B79E4" w:rsidRDefault="001B79E4" w:rsidP="00DC133B">
      <w:r>
        <w:rPr>
          <w:b/>
          <w:bCs/>
          <w:u w:val="single"/>
        </w:rPr>
        <w:t>Gemini response</w:t>
      </w:r>
    </w:p>
    <w:p w14:paraId="2E343C25" w14:textId="411EFAA1" w:rsidR="00DC133B" w:rsidRPr="00DC133B" w:rsidRDefault="00DC133B" w:rsidP="00DC133B">
      <w:r w:rsidRPr="00DC133B">
        <w:t>Based on the analyses presented, here are the key limitations and caveats you should explicitly state in your report.</w:t>
      </w:r>
    </w:p>
    <w:p w14:paraId="473BA704" w14:textId="77777777" w:rsidR="00DC133B" w:rsidRPr="00DC133B" w:rsidRDefault="00DC133B" w:rsidP="00DC133B">
      <w:pPr>
        <w:rPr>
          <w:b/>
          <w:bCs/>
        </w:rPr>
      </w:pPr>
      <w:r w:rsidRPr="00DC133B">
        <w:rPr>
          <w:b/>
          <w:bCs/>
        </w:rPr>
        <w:t>## Data Scope and Generalizability</w:t>
      </w:r>
    </w:p>
    <w:p w14:paraId="01F6D4D9" w14:textId="690E4AD4" w:rsidR="00DC133B" w:rsidRPr="00DC133B" w:rsidRDefault="00DC133B" w:rsidP="00DC133B">
      <w:r w:rsidRPr="00DC133B">
        <w:t xml:space="preserve">Your findings are based on the TEDS-D dataset, which has a specific scope. It's crucial to note that this dataset primarily includes information from </w:t>
      </w:r>
      <w:r w:rsidRPr="00DC133B">
        <w:rPr>
          <w:b/>
          <w:bCs/>
        </w:rPr>
        <w:t>publicly funded substance use treatment facilities</w:t>
      </w:r>
      <w:r w:rsidRPr="00DC133B">
        <w:t>. Your results may not be generalizable to the entire population of individuals with Opioid Use Disorder (OUD) in California, as they do not capture people receiving care from private-practice physicians, many hospital-based programs, or other private-pay providers. This is especially important given the recent elimination of the X-waiver, which has expanded MAT prescribing into primary care settings that are likely not captured in this dataset.</w:t>
      </w:r>
    </w:p>
    <w:p w14:paraId="755049A4" w14:textId="77777777" w:rsidR="00DC133B" w:rsidRPr="00DC133B" w:rsidRDefault="00DC133B" w:rsidP="00DC133B">
      <w:pPr>
        <w:rPr>
          <w:b/>
          <w:bCs/>
        </w:rPr>
      </w:pPr>
      <w:r w:rsidRPr="00DC133B">
        <w:rPr>
          <w:b/>
          <w:bCs/>
        </w:rPr>
        <w:t>## The Definition of "Treatment Success"</w:t>
      </w:r>
    </w:p>
    <w:p w14:paraId="391A14F4" w14:textId="77777777" w:rsidR="00DC133B" w:rsidRPr="00DC133B" w:rsidRDefault="00DC133B" w:rsidP="00DC133B">
      <w:r w:rsidRPr="00DC133B">
        <w:t xml:space="preserve">This is arguably the most significant caveat. Your analysis defined "success" as completing treatment based on the reason for discharge variable. You must state that this is a </w:t>
      </w:r>
      <w:r w:rsidRPr="00DC133B">
        <w:rPr>
          <w:b/>
          <w:bCs/>
        </w:rPr>
        <w:t>profoundly flawed metric for evaluating MAT</w:t>
      </w:r>
      <w:r w:rsidRPr="00DC133B">
        <w:t>. MAT is often a long-term maintenance therapy, not a time-limited episode with a discrete "completion" date. The finding that MAT was associated with a lower likelihood of completion is very likely an artifact of this definition, indicating that the administrative metric of "completion" is misaligned with the clinical goals of MAT, rather than an indication of treatment failure.</w:t>
      </w:r>
    </w:p>
    <w:p w14:paraId="37371302" w14:textId="77777777" w:rsidR="00DC133B" w:rsidRPr="00DC133B" w:rsidRDefault="00DC133B" w:rsidP="00DC133B">
      <w:pPr>
        <w:rPr>
          <w:b/>
          <w:bCs/>
        </w:rPr>
      </w:pPr>
      <w:r w:rsidRPr="00DC133B">
        <w:rPr>
          <w:b/>
          <w:bCs/>
        </w:rPr>
        <w:t>## Correlation vs. Causation</w:t>
      </w:r>
    </w:p>
    <w:p w14:paraId="56E11774" w14:textId="0F36B5D8" w:rsidR="00DC133B" w:rsidRDefault="00DC133B" w:rsidP="00DC133B">
      <w:r w:rsidRPr="00DC133B">
        <w:t xml:space="preserve">The statistical models identify strong associations, but they do not prove causation. For example, the analysis showed that being housed is a strong predictor of receiving MAT. While this is a critical finding, the data does not explain the reason for this link. It cannot tell us if it's due to clinic policies, outreach failures, or other systemic factors. The report should explicitly state that this analysis reveals </w:t>
      </w:r>
      <w:r w:rsidRPr="00DC133B">
        <w:rPr>
          <w:b/>
          <w:bCs/>
        </w:rPr>
        <w:t>what</w:t>
      </w:r>
      <w:r w:rsidRPr="00DC133B">
        <w:t xml:space="preserve"> is happening, but further qualitative research is necessary to understand </w:t>
      </w:r>
      <w:r w:rsidRPr="00DC133B">
        <w:rPr>
          <w:b/>
          <w:bCs/>
        </w:rPr>
        <w:t>why</w:t>
      </w:r>
      <w:r w:rsidRPr="00DC133B">
        <w:t>.</w:t>
      </w:r>
    </w:p>
    <w:p w14:paraId="6E797A32" w14:textId="77777777" w:rsidR="00DC133B" w:rsidRPr="00DC133B" w:rsidRDefault="00DC133B" w:rsidP="00DC133B">
      <w:pPr>
        <w:rPr>
          <w:b/>
          <w:bCs/>
        </w:rPr>
      </w:pPr>
      <w:r w:rsidRPr="00DC133B">
        <w:rPr>
          <w:b/>
          <w:bCs/>
        </w:rPr>
        <w:t>## Potential for Unmeasured Confounding Variables</w:t>
      </w:r>
    </w:p>
    <w:p w14:paraId="3D298453" w14:textId="0C8A7A66" w:rsidR="00D2208E" w:rsidRDefault="00DC133B" w:rsidP="00331978">
      <w:pPr>
        <w:ind w:right="-360"/>
      </w:pPr>
      <w:r w:rsidRPr="00DC133B">
        <w:t xml:space="preserve">While your models control for key demographics, there may be unmeasured factors influencing the results. For example, the analyses do not account for the </w:t>
      </w:r>
      <w:r w:rsidRPr="00DC133B">
        <w:rPr>
          <w:b/>
          <w:bCs/>
        </w:rPr>
        <w:t>severity of a person's substance use disorder</w:t>
      </w:r>
      <w:r w:rsidRPr="00DC133B">
        <w:t xml:space="preserve">, the presence of a strong </w:t>
      </w:r>
      <w:r w:rsidRPr="00DC133B">
        <w:rPr>
          <w:b/>
          <w:bCs/>
        </w:rPr>
        <w:t>social support system</w:t>
      </w:r>
      <w:r w:rsidRPr="00DC133B">
        <w:t xml:space="preserve">, or a </w:t>
      </w:r>
      <w:r w:rsidRPr="00DC133B">
        <w:lastRenderedPageBreak/>
        <w:t xml:space="preserve">client's </w:t>
      </w:r>
      <w:r w:rsidRPr="00DC133B">
        <w:rPr>
          <w:b/>
          <w:bCs/>
        </w:rPr>
        <w:t>motivation for change</w:t>
      </w:r>
      <w:r w:rsidRPr="00DC133B">
        <w:t>. These unmeasured variables could be confounding the relationships you've observed between demographics, MAT access, and treatment outcomes.</w:t>
      </w:r>
    </w:p>
    <w:p w14:paraId="14545113" w14:textId="213884DB" w:rsidR="001B79E4" w:rsidRDefault="001B79E4" w:rsidP="00331978">
      <w:pPr>
        <w:ind w:right="-360"/>
      </w:pPr>
    </w:p>
    <w:p w14:paraId="2B65FD93" w14:textId="283C310F" w:rsidR="001B79E4" w:rsidRDefault="001B79E4" w:rsidP="00331978">
      <w:pPr>
        <w:ind w:right="-360"/>
        <w:rPr>
          <w:b/>
          <w:bCs/>
          <w:u w:val="single"/>
        </w:rPr>
      </w:pPr>
      <w:r w:rsidRPr="001B79E4">
        <w:rPr>
          <w:b/>
          <w:bCs/>
          <w:u w:val="single"/>
        </w:rPr>
        <w:t>ChatGPT response</w:t>
      </w:r>
    </w:p>
    <w:p w14:paraId="515C4984" w14:textId="77777777" w:rsidR="001B79E4" w:rsidRPr="001B79E4" w:rsidRDefault="001B79E4" w:rsidP="001B79E4">
      <w:pPr>
        <w:ind w:right="-360"/>
      </w:pPr>
      <w:r w:rsidRPr="001B79E4">
        <w:t>As a research reviewer, here is a set of specific, constructive limitations and caveats that should be clearly acknowledged in your final report to ensure transparency, methodological rigor, and accurate interpretation—especially given your audience is a large foundation making funding decisions.</w:t>
      </w:r>
    </w:p>
    <w:p w14:paraId="5C7D304E" w14:textId="77777777" w:rsidR="001B79E4" w:rsidRPr="001B79E4" w:rsidRDefault="001B79E4" w:rsidP="001B79E4">
      <w:pPr>
        <w:ind w:right="-360"/>
      </w:pPr>
      <w:r w:rsidRPr="001B79E4">
        <w:pict w14:anchorId="583C6426">
          <v:rect id="_x0000_i1121" style="width:0;height:1.5pt" o:hralign="center" o:hrstd="t" o:hr="t" fillcolor="#a0a0a0" stroked="f"/>
        </w:pict>
      </w:r>
    </w:p>
    <w:p w14:paraId="49B31AFE" w14:textId="77777777" w:rsidR="001B79E4" w:rsidRPr="001B79E4" w:rsidRDefault="001B79E4" w:rsidP="001B79E4">
      <w:pPr>
        <w:ind w:right="-360"/>
        <w:rPr>
          <w:b/>
          <w:bCs/>
        </w:rPr>
      </w:pPr>
      <w:r w:rsidRPr="001B79E4">
        <w:rPr>
          <w:rFonts w:ascii="Segoe UI Emoji" w:hAnsi="Segoe UI Emoji" w:cs="Segoe UI Emoji"/>
          <w:b/>
          <w:bCs/>
        </w:rPr>
        <w:t>⚠️</w:t>
      </w:r>
      <w:r w:rsidRPr="001B79E4">
        <w:rPr>
          <w:b/>
          <w:bCs/>
        </w:rPr>
        <w:t xml:space="preserve"> Methodological &amp; Analytical Limitations</w:t>
      </w:r>
    </w:p>
    <w:p w14:paraId="771F695F" w14:textId="77777777" w:rsidR="001B79E4" w:rsidRPr="001B79E4" w:rsidRDefault="001B79E4" w:rsidP="001B79E4">
      <w:pPr>
        <w:ind w:right="-360"/>
        <w:rPr>
          <w:b/>
          <w:bCs/>
        </w:rPr>
      </w:pPr>
      <w:r w:rsidRPr="001B79E4">
        <w:rPr>
          <w:b/>
          <w:bCs/>
        </w:rPr>
        <w:t>1. Use of Administrative Data (TEDS-D)</w:t>
      </w:r>
    </w:p>
    <w:p w14:paraId="0B1A5F52" w14:textId="77777777" w:rsidR="001B79E4" w:rsidRPr="001B79E4" w:rsidRDefault="001B79E4" w:rsidP="001B79E4">
      <w:pPr>
        <w:ind w:right="-360"/>
      </w:pPr>
      <w:r w:rsidRPr="001B79E4">
        <w:rPr>
          <w:b/>
          <w:bCs/>
        </w:rPr>
        <w:t>Limitation</w:t>
      </w:r>
      <w:r w:rsidRPr="001B79E4">
        <w:t>: The dataset is based on administrative records from treatment facilities that receive public funding, and does not capture private treatment settings or individuals who do not seek formal treatment.</w:t>
      </w:r>
    </w:p>
    <w:p w14:paraId="0DC77F5E" w14:textId="77777777" w:rsidR="001B79E4" w:rsidRPr="001B79E4" w:rsidRDefault="001B79E4" w:rsidP="001B79E4">
      <w:pPr>
        <w:ind w:right="-360"/>
      </w:pPr>
      <w:r w:rsidRPr="001B79E4">
        <w:rPr>
          <w:b/>
          <w:bCs/>
        </w:rPr>
        <w:t>Why it matters</w:t>
      </w:r>
      <w:r w:rsidRPr="001B79E4">
        <w:t>: Your findings are generalizable primarily to publicly funded treatment systems and may underestimate disparities among populations who avoid or lack access to those systems, including undocumented individuals, those in rural areas, or people accessing informal recovery networks.</w:t>
      </w:r>
    </w:p>
    <w:p w14:paraId="396E03ED" w14:textId="77777777" w:rsidR="001B79E4" w:rsidRPr="001B79E4" w:rsidRDefault="001B79E4" w:rsidP="001B79E4">
      <w:pPr>
        <w:ind w:right="-360"/>
      </w:pPr>
      <w:r w:rsidRPr="001B79E4">
        <w:pict w14:anchorId="1FDAFDEB">
          <v:rect id="_x0000_i1122" style="width:0;height:1.5pt" o:hralign="center" o:hrstd="t" o:hr="t" fillcolor="#a0a0a0" stroked="f"/>
        </w:pict>
      </w:r>
    </w:p>
    <w:p w14:paraId="4C997F93" w14:textId="77777777" w:rsidR="001B79E4" w:rsidRPr="001B79E4" w:rsidRDefault="001B79E4" w:rsidP="001B79E4">
      <w:pPr>
        <w:ind w:right="-360"/>
        <w:rPr>
          <w:b/>
          <w:bCs/>
        </w:rPr>
      </w:pPr>
      <w:r w:rsidRPr="001B79E4">
        <w:rPr>
          <w:b/>
          <w:bCs/>
        </w:rPr>
        <w:t>2. Outcome Definition of “Treatment Success”</w:t>
      </w:r>
    </w:p>
    <w:p w14:paraId="37C01A7F" w14:textId="77777777" w:rsidR="001B79E4" w:rsidRPr="001B79E4" w:rsidRDefault="001B79E4" w:rsidP="001B79E4">
      <w:pPr>
        <w:ind w:right="-360"/>
      </w:pPr>
      <w:r w:rsidRPr="001B79E4">
        <w:rPr>
          <w:b/>
          <w:bCs/>
        </w:rPr>
        <w:t>Limitation</w:t>
      </w:r>
      <w:r w:rsidRPr="001B79E4">
        <w:t>: "Treatment success" is defined based on discharge codes (completed or transferred), which may not align with clinical or functional recovery — especially for people on long-term MAT.</w:t>
      </w:r>
    </w:p>
    <w:p w14:paraId="5FC549C9" w14:textId="77777777" w:rsidR="001B79E4" w:rsidRPr="001B79E4" w:rsidRDefault="001B79E4" w:rsidP="001B79E4">
      <w:pPr>
        <w:ind w:right="-360"/>
      </w:pPr>
      <w:r w:rsidRPr="001B79E4">
        <w:rPr>
          <w:b/>
          <w:bCs/>
        </w:rPr>
        <w:t>Why it matters</w:t>
      </w:r>
      <w:r w:rsidRPr="001B79E4">
        <w:t>: This may underestimate the positive outcomes of MAT, as individuals continuing in care or transitioning to long-term support may be misclassified as "unsuccessful." This bias could be particularly strong in outpatient or harm reduction-oriented programs.</w:t>
      </w:r>
    </w:p>
    <w:p w14:paraId="2EAC8115" w14:textId="77777777" w:rsidR="001B79E4" w:rsidRPr="001B79E4" w:rsidRDefault="001B79E4" w:rsidP="001B79E4">
      <w:pPr>
        <w:ind w:right="-360"/>
      </w:pPr>
      <w:r w:rsidRPr="001B79E4">
        <w:pict w14:anchorId="2F4BDA5E">
          <v:rect id="_x0000_i1123" style="width:0;height:1.5pt" o:hralign="center" o:hrstd="t" o:hr="t" fillcolor="#a0a0a0" stroked="f"/>
        </w:pict>
      </w:r>
    </w:p>
    <w:p w14:paraId="2AE0CD09" w14:textId="77777777" w:rsidR="001B79E4" w:rsidRPr="001B79E4" w:rsidRDefault="001B79E4" w:rsidP="001B79E4">
      <w:pPr>
        <w:ind w:right="-360"/>
        <w:rPr>
          <w:b/>
          <w:bCs/>
        </w:rPr>
      </w:pPr>
      <w:r w:rsidRPr="001B79E4">
        <w:rPr>
          <w:b/>
          <w:bCs/>
        </w:rPr>
        <w:t>3. Cross-Sectional Nature of the Data</w:t>
      </w:r>
    </w:p>
    <w:p w14:paraId="0D2693E9" w14:textId="77777777" w:rsidR="001B79E4" w:rsidRPr="001B79E4" w:rsidRDefault="001B79E4" w:rsidP="001B79E4">
      <w:pPr>
        <w:ind w:right="-360"/>
      </w:pPr>
      <w:r w:rsidRPr="001B79E4">
        <w:rPr>
          <w:b/>
          <w:bCs/>
        </w:rPr>
        <w:t>Limitation</w:t>
      </w:r>
      <w:r w:rsidRPr="001B79E4">
        <w:t>: The TEDS-D data provides admission and discharge information for a single treatment episode, but does not track individuals longitudinally across multiple episodes or systems.</w:t>
      </w:r>
    </w:p>
    <w:p w14:paraId="1C05099E" w14:textId="77777777" w:rsidR="001B79E4" w:rsidRPr="001B79E4" w:rsidRDefault="001B79E4" w:rsidP="001B79E4">
      <w:pPr>
        <w:ind w:right="-360"/>
      </w:pPr>
      <w:r w:rsidRPr="001B79E4">
        <w:rPr>
          <w:b/>
          <w:bCs/>
        </w:rPr>
        <w:lastRenderedPageBreak/>
        <w:t>Why it matters</w:t>
      </w:r>
      <w:r w:rsidRPr="001B79E4">
        <w:t>: You cannot assess long-term recovery, sustained MAT adherence, relapse, or repeated engagement, which are critical for understanding outcomes in chronic conditions like opioid use disorder.</w:t>
      </w:r>
    </w:p>
    <w:p w14:paraId="084EC02D" w14:textId="77777777" w:rsidR="001B79E4" w:rsidRPr="001B79E4" w:rsidRDefault="001B79E4" w:rsidP="001B79E4">
      <w:pPr>
        <w:ind w:right="-360"/>
      </w:pPr>
      <w:r w:rsidRPr="001B79E4">
        <w:pict w14:anchorId="0C051242">
          <v:rect id="_x0000_i1124" style="width:0;height:1.5pt" o:hralign="center" o:hrstd="t" o:hr="t" fillcolor="#a0a0a0" stroked="f"/>
        </w:pict>
      </w:r>
    </w:p>
    <w:p w14:paraId="502F46A7" w14:textId="77777777" w:rsidR="001B79E4" w:rsidRPr="001B79E4" w:rsidRDefault="001B79E4" w:rsidP="001B79E4">
      <w:pPr>
        <w:ind w:right="-360"/>
        <w:rPr>
          <w:b/>
          <w:bCs/>
        </w:rPr>
      </w:pPr>
      <w:r w:rsidRPr="001B79E4">
        <w:rPr>
          <w:b/>
          <w:bCs/>
        </w:rPr>
        <w:t>4. Unmeasured Confounding</w:t>
      </w:r>
    </w:p>
    <w:p w14:paraId="40B6595F" w14:textId="77777777" w:rsidR="001B79E4" w:rsidRPr="001B79E4" w:rsidRDefault="001B79E4" w:rsidP="001B79E4">
      <w:pPr>
        <w:ind w:right="-360"/>
      </w:pPr>
      <w:r w:rsidRPr="001B79E4">
        <w:rPr>
          <w:b/>
          <w:bCs/>
        </w:rPr>
        <w:t>Limitation</w:t>
      </w:r>
      <w:r w:rsidRPr="001B79E4">
        <w:t>: Important confounders such as mental health status, social support, trauma history, insurance type, provider characteristics, and stigma exposure are not available in the dataset.</w:t>
      </w:r>
    </w:p>
    <w:p w14:paraId="2E8F7026" w14:textId="77777777" w:rsidR="001B79E4" w:rsidRPr="001B79E4" w:rsidRDefault="001B79E4" w:rsidP="001B79E4">
      <w:pPr>
        <w:ind w:right="-360"/>
      </w:pPr>
      <w:r w:rsidRPr="001B79E4">
        <w:rPr>
          <w:b/>
          <w:bCs/>
        </w:rPr>
        <w:t>Why it matters</w:t>
      </w:r>
      <w:r w:rsidRPr="001B79E4">
        <w:t>: These unmeasured factors likely influence both MAT receipt and treatment success, and their absence may bias your estimates or obscure structural inequities.</w:t>
      </w:r>
    </w:p>
    <w:p w14:paraId="4FCE2517" w14:textId="77777777" w:rsidR="001B79E4" w:rsidRPr="001B79E4" w:rsidRDefault="001B79E4" w:rsidP="001B79E4">
      <w:pPr>
        <w:ind w:right="-360"/>
      </w:pPr>
      <w:r w:rsidRPr="001B79E4">
        <w:pict w14:anchorId="399A13BE">
          <v:rect id="_x0000_i1125" style="width:0;height:1.5pt" o:hralign="center" o:hrstd="t" o:hr="t" fillcolor="#a0a0a0" stroked="f"/>
        </w:pict>
      </w:r>
    </w:p>
    <w:p w14:paraId="3271C18B" w14:textId="77777777" w:rsidR="001B79E4" w:rsidRPr="001B79E4" w:rsidRDefault="001B79E4" w:rsidP="001B79E4">
      <w:pPr>
        <w:ind w:right="-360"/>
        <w:rPr>
          <w:b/>
          <w:bCs/>
        </w:rPr>
      </w:pPr>
      <w:r w:rsidRPr="001B79E4">
        <w:rPr>
          <w:b/>
          <w:bCs/>
        </w:rPr>
        <w:t>5. Potential Misclassification in MAT and Discharge Variables</w:t>
      </w:r>
    </w:p>
    <w:p w14:paraId="511AB156" w14:textId="77777777" w:rsidR="001B79E4" w:rsidRPr="001B79E4" w:rsidRDefault="001B79E4" w:rsidP="001B79E4">
      <w:pPr>
        <w:ind w:right="-360"/>
      </w:pPr>
      <w:r w:rsidRPr="001B79E4">
        <w:rPr>
          <w:b/>
          <w:bCs/>
        </w:rPr>
        <w:t>Limitation</w:t>
      </w:r>
      <w:r w:rsidRPr="001B79E4">
        <w:t>: The MAT indicator and discharge codes depend on facility-level reporting accuracy, which may vary. Some clients may have received MAT that wasn’t documented, or transferred care in ways not reflected accurately in discharge status.</w:t>
      </w:r>
    </w:p>
    <w:p w14:paraId="081200CB" w14:textId="77777777" w:rsidR="001B79E4" w:rsidRPr="001B79E4" w:rsidRDefault="001B79E4" w:rsidP="001B79E4">
      <w:pPr>
        <w:ind w:right="-360"/>
      </w:pPr>
      <w:r w:rsidRPr="001B79E4">
        <w:rPr>
          <w:b/>
          <w:bCs/>
        </w:rPr>
        <w:t>Why it matters:</w:t>
      </w:r>
      <w:r w:rsidRPr="001B79E4">
        <w:t xml:space="preserve"> Misclassification could lead to underestimation of MAT uptake or overrepresentation of "dropout" among clients actually continuing care elsewhere.</w:t>
      </w:r>
    </w:p>
    <w:p w14:paraId="35B52957" w14:textId="77777777" w:rsidR="001B79E4" w:rsidRPr="001B79E4" w:rsidRDefault="001B79E4" w:rsidP="001B79E4">
      <w:pPr>
        <w:ind w:right="-360"/>
      </w:pPr>
      <w:r w:rsidRPr="001B79E4">
        <w:pict w14:anchorId="66F4287A">
          <v:rect id="_x0000_i1126" style="width:0;height:1.5pt" o:hralign="center" o:hrstd="t" o:hr="t" fillcolor="#a0a0a0" stroked="f"/>
        </w:pict>
      </w:r>
    </w:p>
    <w:p w14:paraId="01FFADED" w14:textId="77777777" w:rsidR="001B79E4" w:rsidRPr="001B79E4" w:rsidRDefault="001B79E4" w:rsidP="001B79E4">
      <w:pPr>
        <w:ind w:right="-360"/>
        <w:rPr>
          <w:b/>
          <w:bCs/>
        </w:rPr>
      </w:pPr>
      <w:r w:rsidRPr="001B79E4">
        <w:rPr>
          <w:b/>
          <w:bCs/>
        </w:rPr>
        <w:t>6. Limited Intersectional Analysis (Unless Addressed in Additions)</w:t>
      </w:r>
    </w:p>
    <w:p w14:paraId="48BFFCDE" w14:textId="77777777" w:rsidR="001B79E4" w:rsidRPr="001B79E4" w:rsidRDefault="001B79E4" w:rsidP="001B79E4">
      <w:pPr>
        <w:ind w:right="-360"/>
      </w:pPr>
      <w:r w:rsidRPr="001B79E4">
        <w:rPr>
          <w:b/>
          <w:bCs/>
        </w:rPr>
        <w:t>Limitation</w:t>
      </w:r>
      <w:r w:rsidRPr="001B79E4">
        <w:t>: The current analysis examines demographic variables individually (e.g., age, race, sex), but does not fully explore intersectional impacts (e.g., how outcomes differ for Latine women vs. White men).</w:t>
      </w:r>
    </w:p>
    <w:p w14:paraId="0854AB18" w14:textId="77777777" w:rsidR="001B79E4" w:rsidRPr="001B79E4" w:rsidRDefault="001B79E4" w:rsidP="001B79E4">
      <w:pPr>
        <w:ind w:right="-360"/>
      </w:pPr>
      <w:r w:rsidRPr="001B79E4">
        <w:rPr>
          <w:b/>
          <w:bCs/>
        </w:rPr>
        <w:t>Why it matters:</w:t>
      </w:r>
      <w:r w:rsidRPr="001B79E4">
        <w:t xml:space="preserve"> Intersectional inequities may be hidden when analyzing demographics independently, which could limit the foundation’s ability to target resources to the most affected subgroups.</w:t>
      </w:r>
    </w:p>
    <w:p w14:paraId="3334650D" w14:textId="77777777" w:rsidR="001B79E4" w:rsidRPr="001B79E4" w:rsidRDefault="001B79E4" w:rsidP="001B79E4">
      <w:pPr>
        <w:ind w:right="-360"/>
      </w:pPr>
      <w:r w:rsidRPr="001B79E4">
        <w:pict w14:anchorId="3FC1C2F6">
          <v:rect id="_x0000_i1127" style="width:0;height:1.5pt" o:hralign="center" o:hrstd="t" o:hr="t" fillcolor="#a0a0a0" stroked="f"/>
        </w:pict>
      </w:r>
    </w:p>
    <w:p w14:paraId="7C157970" w14:textId="77777777" w:rsidR="001B79E4" w:rsidRPr="001B79E4" w:rsidRDefault="001B79E4" w:rsidP="001B79E4">
      <w:pPr>
        <w:ind w:right="-360"/>
        <w:rPr>
          <w:b/>
          <w:bCs/>
        </w:rPr>
      </w:pPr>
      <w:r w:rsidRPr="001B79E4">
        <w:rPr>
          <w:rFonts w:ascii="Segoe UI Emoji" w:hAnsi="Segoe UI Emoji" w:cs="Segoe UI Emoji"/>
          <w:b/>
          <w:bCs/>
        </w:rPr>
        <w:t>🗺️</w:t>
      </w:r>
      <w:r w:rsidRPr="001B79E4">
        <w:rPr>
          <w:b/>
          <w:bCs/>
        </w:rPr>
        <w:t xml:space="preserve"> Contextual &amp; Structural Caveats</w:t>
      </w:r>
    </w:p>
    <w:p w14:paraId="5EE0B619" w14:textId="77777777" w:rsidR="001B79E4" w:rsidRPr="001B79E4" w:rsidRDefault="001B79E4" w:rsidP="001B79E4">
      <w:pPr>
        <w:ind w:right="-360"/>
        <w:rPr>
          <w:b/>
          <w:bCs/>
        </w:rPr>
      </w:pPr>
      <w:r w:rsidRPr="001B79E4">
        <w:rPr>
          <w:b/>
          <w:bCs/>
        </w:rPr>
        <w:t>7. MAT Access Barriers Are Systemic, Not Individual</w:t>
      </w:r>
    </w:p>
    <w:p w14:paraId="6DB6B306" w14:textId="77777777" w:rsidR="001B79E4" w:rsidRPr="001B79E4" w:rsidRDefault="001B79E4" w:rsidP="001B79E4">
      <w:pPr>
        <w:ind w:right="-360"/>
      </w:pPr>
      <w:r w:rsidRPr="001B79E4">
        <w:t>Caveat: Differences in MAT use by race/ethnicity, age, or housing status reflect systemic access barriers and program design limitations, not patient-level preferences or non-compliance.</w:t>
      </w:r>
    </w:p>
    <w:p w14:paraId="14FED422" w14:textId="77777777" w:rsidR="001B79E4" w:rsidRPr="001B79E4" w:rsidRDefault="001B79E4" w:rsidP="001B79E4">
      <w:pPr>
        <w:ind w:right="-360"/>
      </w:pPr>
      <w:r w:rsidRPr="001B79E4">
        <w:lastRenderedPageBreak/>
        <w:t>Why it matters: Findings should be interpreted through a structural lens—clients who are underrepresented in MAT are likely underserved, not less willing.</w:t>
      </w:r>
    </w:p>
    <w:p w14:paraId="0F1CE602" w14:textId="77777777" w:rsidR="001B79E4" w:rsidRPr="001B79E4" w:rsidRDefault="001B79E4" w:rsidP="001B79E4">
      <w:pPr>
        <w:ind w:right="-360"/>
      </w:pPr>
      <w:r w:rsidRPr="001B79E4">
        <w:pict w14:anchorId="07612DC3">
          <v:rect id="_x0000_i1128" style="width:0;height:1.5pt" o:hralign="center" o:hrstd="t" o:hr="t" fillcolor="#a0a0a0" stroked="f"/>
        </w:pict>
      </w:r>
    </w:p>
    <w:p w14:paraId="62B0A368" w14:textId="77777777" w:rsidR="001B79E4" w:rsidRPr="001B79E4" w:rsidRDefault="001B79E4" w:rsidP="001B79E4">
      <w:pPr>
        <w:ind w:right="-360"/>
        <w:rPr>
          <w:b/>
          <w:bCs/>
        </w:rPr>
      </w:pPr>
      <w:r w:rsidRPr="001B79E4">
        <w:rPr>
          <w:b/>
          <w:bCs/>
        </w:rPr>
        <w:t>8. Not All Clients Seek Abstinence-Oriented Outcomes</w:t>
      </w:r>
    </w:p>
    <w:p w14:paraId="2D79ADF7" w14:textId="77777777" w:rsidR="001B79E4" w:rsidRPr="001B79E4" w:rsidRDefault="001B79E4" w:rsidP="001B79E4">
      <w:pPr>
        <w:ind w:right="-360"/>
      </w:pPr>
      <w:r w:rsidRPr="001B79E4">
        <w:t>Caveat: Some individuals entering treatment programs, especially MAT-based or harm-reduction services, may not aim for complete abstinence or "completion" in a traditional sense.</w:t>
      </w:r>
    </w:p>
    <w:p w14:paraId="3013A6C3" w14:textId="77777777" w:rsidR="001B79E4" w:rsidRPr="001B79E4" w:rsidRDefault="001B79E4" w:rsidP="001B79E4">
      <w:pPr>
        <w:ind w:right="-360"/>
      </w:pPr>
      <w:r w:rsidRPr="001B79E4">
        <w:t>Why it matters: Defining success in terms of program discharge may not capture patient-defined goals, especially in more person-centered or culturally responsive models.</w:t>
      </w:r>
    </w:p>
    <w:p w14:paraId="7CF14BFF" w14:textId="77777777" w:rsidR="001B79E4" w:rsidRPr="001B79E4" w:rsidRDefault="001B79E4" w:rsidP="001B79E4">
      <w:pPr>
        <w:ind w:right="-360"/>
      </w:pPr>
      <w:r w:rsidRPr="001B79E4">
        <w:pict w14:anchorId="362555E0">
          <v:rect id="_x0000_i1129" style="width:0;height:1.5pt" o:hralign="center" o:hrstd="t" o:hr="t" fillcolor="#a0a0a0" stroked="f"/>
        </w:pict>
      </w:r>
    </w:p>
    <w:p w14:paraId="4FFD6893" w14:textId="77777777" w:rsidR="001B79E4" w:rsidRPr="001B79E4" w:rsidRDefault="001B79E4" w:rsidP="001B79E4">
      <w:pPr>
        <w:ind w:right="-360"/>
        <w:rPr>
          <w:b/>
          <w:bCs/>
        </w:rPr>
      </w:pPr>
      <w:r w:rsidRPr="001B79E4">
        <w:rPr>
          <w:rFonts w:ascii="Segoe UI Emoji" w:hAnsi="Segoe UI Emoji" w:cs="Segoe UI Emoji"/>
          <w:b/>
          <w:bCs/>
        </w:rPr>
        <w:t>✅</w:t>
      </w:r>
      <w:r w:rsidRPr="001B79E4">
        <w:rPr>
          <w:b/>
          <w:bCs/>
        </w:rPr>
        <w:t xml:space="preserve"> How to Frame This for the Foundation</w:t>
      </w:r>
    </w:p>
    <w:p w14:paraId="47A1C1D1" w14:textId="77777777" w:rsidR="001B79E4" w:rsidRPr="001B79E4" w:rsidRDefault="001B79E4" w:rsidP="001B79E4">
      <w:pPr>
        <w:ind w:right="-360"/>
      </w:pPr>
      <w:r w:rsidRPr="001B79E4">
        <w:t>Include these limitations in a dedicated section or appendix, framed not as weaknesses of the research, but as structural realities of working with administrative data. Where possible, tie limitations directly to actionable recommendations for further research or system improvement.</w:t>
      </w:r>
    </w:p>
    <w:p w14:paraId="7118CC19" w14:textId="77777777" w:rsidR="001B79E4" w:rsidRPr="001B79E4" w:rsidRDefault="001B79E4" w:rsidP="00331978">
      <w:pPr>
        <w:ind w:right="-360"/>
        <w:rPr>
          <w:b/>
          <w:bCs/>
          <w:u w:val="single"/>
        </w:rPr>
      </w:pPr>
    </w:p>
    <w:sectPr w:rsidR="001B79E4" w:rsidRPr="001B79E4" w:rsidSect="00DC133B">
      <w:pgSz w:w="12240" w:h="15840"/>
      <w:pgMar w:top="99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E0B5B"/>
    <w:multiLevelType w:val="multilevel"/>
    <w:tmpl w:val="BECAF0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417E88"/>
    <w:multiLevelType w:val="multilevel"/>
    <w:tmpl w:val="E7EAB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040C00"/>
    <w:multiLevelType w:val="multilevel"/>
    <w:tmpl w:val="1C0C47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9B38E7"/>
    <w:multiLevelType w:val="multilevel"/>
    <w:tmpl w:val="64881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4805C1"/>
    <w:multiLevelType w:val="multilevel"/>
    <w:tmpl w:val="F0163E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B07057"/>
    <w:multiLevelType w:val="multilevel"/>
    <w:tmpl w:val="1C0A06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CE1858"/>
    <w:multiLevelType w:val="multilevel"/>
    <w:tmpl w:val="4B9C2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CD4289C"/>
    <w:multiLevelType w:val="multilevel"/>
    <w:tmpl w:val="5A0E4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085776">
    <w:abstractNumId w:val="6"/>
  </w:num>
  <w:num w:numId="2" w16cid:durableId="653418182">
    <w:abstractNumId w:val="7"/>
  </w:num>
  <w:num w:numId="3" w16cid:durableId="1120802719">
    <w:abstractNumId w:val="0"/>
  </w:num>
  <w:num w:numId="4" w16cid:durableId="932280152">
    <w:abstractNumId w:val="4"/>
  </w:num>
  <w:num w:numId="5" w16cid:durableId="465665394">
    <w:abstractNumId w:val="3"/>
  </w:num>
  <w:num w:numId="6" w16cid:durableId="1519734363">
    <w:abstractNumId w:val="5"/>
  </w:num>
  <w:num w:numId="7" w16cid:durableId="1883054263">
    <w:abstractNumId w:val="1"/>
  </w:num>
  <w:num w:numId="8" w16cid:durableId="17164692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33B"/>
    <w:rsid w:val="0008700E"/>
    <w:rsid w:val="001B79E4"/>
    <w:rsid w:val="00331978"/>
    <w:rsid w:val="004E589A"/>
    <w:rsid w:val="004F504D"/>
    <w:rsid w:val="004F6C45"/>
    <w:rsid w:val="00C56BFF"/>
    <w:rsid w:val="00C97747"/>
    <w:rsid w:val="00D2208E"/>
    <w:rsid w:val="00DC133B"/>
    <w:rsid w:val="00EB1F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DE437"/>
  <w15:chartTrackingRefBased/>
  <w15:docId w15:val="{041E203F-9417-4D81-A3C7-BA986E2AD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13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13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13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13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13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13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13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13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13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13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13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13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13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13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13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13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13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133B"/>
    <w:rPr>
      <w:rFonts w:eastAsiaTheme="majorEastAsia" w:cstheme="majorBidi"/>
      <w:color w:val="272727" w:themeColor="text1" w:themeTint="D8"/>
    </w:rPr>
  </w:style>
  <w:style w:type="paragraph" w:styleId="Title">
    <w:name w:val="Title"/>
    <w:basedOn w:val="Normal"/>
    <w:next w:val="Normal"/>
    <w:link w:val="TitleChar"/>
    <w:uiPriority w:val="10"/>
    <w:qFormat/>
    <w:rsid w:val="00DC13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13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13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13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133B"/>
    <w:pPr>
      <w:spacing w:before="160"/>
      <w:jc w:val="center"/>
    </w:pPr>
    <w:rPr>
      <w:i/>
      <w:iCs/>
      <w:color w:val="404040" w:themeColor="text1" w:themeTint="BF"/>
    </w:rPr>
  </w:style>
  <w:style w:type="character" w:customStyle="1" w:styleId="QuoteChar">
    <w:name w:val="Quote Char"/>
    <w:basedOn w:val="DefaultParagraphFont"/>
    <w:link w:val="Quote"/>
    <w:uiPriority w:val="29"/>
    <w:rsid w:val="00DC133B"/>
    <w:rPr>
      <w:i/>
      <w:iCs/>
      <w:color w:val="404040" w:themeColor="text1" w:themeTint="BF"/>
    </w:rPr>
  </w:style>
  <w:style w:type="paragraph" w:styleId="ListParagraph">
    <w:name w:val="List Paragraph"/>
    <w:basedOn w:val="Normal"/>
    <w:uiPriority w:val="34"/>
    <w:qFormat/>
    <w:rsid w:val="00DC133B"/>
    <w:pPr>
      <w:ind w:left="720"/>
      <w:contextualSpacing/>
    </w:pPr>
  </w:style>
  <w:style w:type="character" w:styleId="IntenseEmphasis">
    <w:name w:val="Intense Emphasis"/>
    <w:basedOn w:val="DefaultParagraphFont"/>
    <w:uiPriority w:val="21"/>
    <w:qFormat/>
    <w:rsid w:val="00DC133B"/>
    <w:rPr>
      <w:i/>
      <w:iCs/>
      <w:color w:val="0F4761" w:themeColor="accent1" w:themeShade="BF"/>
    </w:rPr>
  </w:style>
  <w:style w:type="paragraph" w:styleId="IntenseQuote">
    <w:name w:val="Intense Quote"/>
    <w:basedOn w:val="Normal"/>
    <w:next w:val="Normal"/>
    <w:link w:val="IntenseQuoteChar"/>
    <w:uiPriority w:val="30"/>
    <w:qFormat/>
    <w:rsid w:val="00DC13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133B"/>
    <w:rPr>
      <w:i/>
      <w:iCs/>
      <w:color w:val="0F4761" w:themeColor="accent1" w:themeShade="BF"/>
    </w:rPr>
  </w:style>
  <w:style w:type="character" w:styleId="IntenseReference">
    <w:name w:val="Intense Reference"/>
    <w:basedOn w:val="DefaultParagraphFont"/>
    <w:uiPriority w:val="32"/>
    <w:qFormat/>
    <w:rsid w:val="00DC133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349124">
      <w:bodyDiv w:val="1"/>
      <w:marLeft w:val="0"/>
      <w:marRight w:val="0"/>
      <w:marTop w:val="0"/>
      <w:marBottom w:val="0"/>
      <w:divBdr>
        <w:top w:val="none" w:sz="0" w:space="0" w:color="auto"/>
        <w:left w:val="none" w:sz="0" w:space="0" w:color="auto"/>
        <w:bottom w:val="none" w:sz="0" w:space="0" w:color="auto"/>
        <w:right w:val="none" w:sz="0" w:space="0" w:color="auto"/>
      </w:divBdr>
    </w:div>
    <w:div w:id="332612516">
      <w:bodyDiv w:val="1"/>
      <w:marLeft w:val="0"/>
      <w:marRight w:val="0"/>
      <w:marTop w:val="0"/>
      <w:marBottom w:val="0"/>
      <w:divBdr>
        <w:top w:val="none" w:sz="0" w:space="0" w:color="auto"/>
        <w:left w:val="none" w:sz="0" w:space="0" w:color="auto"/>
        <w:bottom w:val="none" w:sz="0" w:space="0" w:color="auto"/>
        <w:right w:val="none" w:sz="0" w:space="0" w:color="auto"/>
      </w:divBdr>
      <w:divsChild>
        <w:div w:id="2041005791">
          <w:blockQuote w:val="1"/>
          <w:marLeft w:val="720"/>
          <w:marRight w:val="720"/>
          <w:marTop w:val="100"/>
          <w:marBottom w:val="100"/>
          <w:divBdr>
            <w:top w:val="none" w:sz="0" w:space="0" w:color="auto"/>
            <w:left w:val="none" w:sz="0" w:space="0" w:color="auto"/>
            <w:bottom w:val="none" w:sz="0" w:space="0" w:color="auto"/>
            <w:right w:val="none" w:sz="0" w:space="0" w:color="auto"/>
          </w:divBdr>
        </w:div>
        <w:div w:id="1898934874">
          <w:blockQuote w:val="1"/>
          <w:marLeft w:val="720"/>
          <w:marRight w:val="720"/>
          <w:marTop w:val="100"/>
          <w:marBottom w:val="100"/>
          <w:divBdr>
            <w:top w:val="none" w:sz="0" w:space="0" w:color="auto"/>
            <w:left w:val="none" w:sz="0" w:space="0" w:color="auto"/>
            <w:bottom w:val="none" w:sz="0" w:space="0" w:color="auto"/>
            <w:right w:val="none" w:sz="0" w:space="0" w:color="auto"/>
          </w:divBdr>
        </w:div>
        <w:div w:id="400450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070158907">
          <w:blockQuote w:val="1"/>
          <w:marLeft w:val="720"/>
          <w:marRight w:val="720"/>
          <w:marTop w:val="100"/>
          <w:marBottom w:val="100"/>
          <w:divBdr>
            <w:top w:val="none" w:sz="0" w:space="0" w:color="auto"/>
            <w:left w:val="none" w:sz="0" w:space="0" w:color="auto"/>
            <w:bottom w:val="none" w:sz="0" w:space="0" w:color="auto"/>
            <w:right w:val="none" w:sz="0" w:space="0" w:color="auto"/>
          </w:divBdr>
        </w:div>
        <w:div w:id="2108186989">
          <w:blockQuote w:val="1"/>
          <w:marLeft w:val="720"/>
          <w:marRight w:val="720"/>
          <w:marTop w:val="100"/>
          <w:marBottom w:val="100"/>
          <w:divBdr>
            <w:top w:val="none" w:sz="0" w:space="0" w:color="auto"/>
            <w:left w:val="none" w:sz="0" w:space="0" w:color="auto"/>
            <w:bottom w:val="none" w:sz="0" w:space="0" w:color="auto"/>
            <w:right w:val="none" w:sz="0" w:space="0" w:color="auto"/>
          </w:divBdr>
        </w:div>
        <w:div w:id="692145340">
          <w:blockQuote w:val="1"/>
          <w:marLeft w:val="720"/>
          <w:marRight w:val="720"/>
          <w:marTop w:val="100"/>
          <w:marBottom w:val="100"/>
          <w:divBdr>
            <w:top w:val="none" w:sz="0" w:space="0" w:color="auto"/>
            <w:left w:val="none" w:sz="0" w:space="0" w:color="auto"/>
            <w:bottom w:val="none" w:sz="0" w:space="0" w:color="auto"/>
            <w:right w:val="none" w:sz="0" w:space="0" w:color="auto"/>
          </w:divBdr>
        </w:div>
        <w:div w:id="1460564402">
          <w:blockQuote w:val="1"/>
          <w:marLeft w:val="720"/>
          <w:marRight w:val="720"/>
          <w:marTop w:val="100"/>
          <w:marBottom w:val="100"/>
          <w:divBdr>
            <w:top w:val="none" w:sz="0" w:space="0" w:color="auto"/>
            <w:left w:val="none" w:sz="0" w:space="0" w:color="auto"/>
            <w:bottom w:val="none" w:sz="0" w:space="0" w:color="auto"/>
            <w:right w:val="none" w:sz="0" w:space="0" w:color="auto"/>
          </w:divBdr>
        </w:div>
        <w:div w:id="17528489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2170462">
      <w:bodyDiv w:val="1"/>
      <w:marLeft w:val="0"/>
      <w:marRight w:val="0"/>
      <w:marTop w:val="0"/>
      <w:marBottom w:val="0"/>
      <w:divBdr>
        <w:top w:val="none" w:sz="0" w:space="0" w:color="auto"/>
        <w:left w:val="none" w:sz="0" w:space="0" w:color="auto"/>
        <w:bottom w:val="none" w:sz="0" w:space="0" w:color="auto"/>
        <w:right w:val="none" w:sz="0" w:space="0" w:color="auto"/>
      </w:divBdr>
    </w:div>
    <w:div w:id="585965473">
      <w:bodyDiv w:val="1"/>
      <w:marLeft w:val="0"/>
      <w:marRight w:val="0"/>
      <w:marTop w:val="0"/>
      <w:marBottom w:val="0"/>
      <w:divBdr>
        <w:top w:val="none" w:sz="0" w:space="0" w:color="auto"/>
        <w:left w:val="none" w:sz="0" w:space="0" w:color="auto"/>
        <w:bottom w:val="none" w:sz="0" w:space="0" w:color="auto"/>
        <w:right w:val="none" w:sz="0" w:space="0" w:color="auto"/>
      </w:divBdr>
    </w:div>
    <w:div w:id="606231090">
      <w:bodyDiv w:val="1"/>
      <w:marLeft w:val="0"/>
      <w:marRight w:val="0"/>
      <w:marTop w:val="0"/>
      <w:marBottom w:val="0"/>
      <w:divBdr>
        <w:top w:val="none" w:sz="0" w:space="0" w:color="auto"/>
        <w:left w:val="none" w:sz="0" w:space="0" w:color="auto"/>
        <w:bottom w:val="none" w:sz="0" w:space="0" w:color="auto"/>
        <w:right w:val="none" w:sz="0" w:space="0" w:color="auto"/>
      </w:divBdr>
    </w:div>
    <w:div w:id="759059078">
      <w:bodyDiv w:val="1"/>
      <w:marLeft w:val="0"/>
      <w:marRight w:val="0"/>
      <w:marTop w:val="0"/>
      <w:marBottom w:val="0"/>
      <w:divBdr>
        <w:top w:val="none" w:sz="0" w:space="0" w:color="auto"/>
        <w:left w:val="none" w:sz="0" w:space="0" w:color="auto"/>
        <w:bottom w:val="none" w:sz="0" w:space="0" w:color="auto"/>
        <w:right w:val="none" w:sz="0" w:space="0" w:color="auto"/>
      </w:divBdr>
    </w:div>
    <w:div w:id="844586971">
      <w:bodyDiv w:val="1"/>
      <w:marLeft w:val="0"/>
      <w:marRight w:val="0"/>
      <w:marTop w:val="0"/>
      <w:marBottom w:val="0"/>
      <w:divBdr>
        <w:top w:val="none" w:sz="0" w:space="0" w:color="auto"/>
        <w:left w:val="none" w:sz="0" w:space="0" w:color="auto"/>
        <w:bottom w:val="none" w:sz="0" w:space="0" w:color="auto"/>
        <w:right w:val="none" w:sz="0" w:space="0" w:color="auto"/>
      </w:divBdr>
    </w:div>
    <w:div w:id="846216801">
      <w:bodyDiv w:val="1"/>
      <w:marLeft w:val="0"/>
      <w:marRight w:val="0"/>
      <w:marTop w:val="0"/>
      <w:marBottom w:val="0"/>
      <w:divBdr>
        <w:top w:val="none" w:sz="0" w:space="0" w:color="auto"/>
        <w:left w:val="none" w:sz="0" w:space="0" w:color="auto"/>
        <w:bottom w:val="none" w:sz="0" w:space="0" w:color="auto"/>
        <w:right w:val="none" w:sz="0" w:space="0" w:color="auto"/>
      </w:divBdr>
      <w:divsChild>
        <w:div w:id="1361201155">
          <w:blockQuote w:val="1"/>
          <w:marLeft w:val="720"/>
          <w:marRight w:val="720"/>
          <w:marTop w:val="100"/>
          <w:marBottom w:val="100"/>
          <w:divBdr>
            <w:top w:val="none" w:sz="0" w:space="0" w:color="auto"/>
            <w:left w:val="none" w:sz="0" w:space="0" w:color="auto"/>
            <w:bottom w:val="none" w:sz="0" w:space="0" w:color="auto"/>
            <w:right w:val="none" w:sz="0" w:space="0" w:color="auto"/>
          </w:divBdr>
        </w:div>
        <w:div w:id="819035883">
          <w:blockQuote w:val="1"/>
          <w:marLeft w:val="720"/>
          <w:marRight w:val="720"/>
          <w:marTop w:val="100"/>
          <w:marBottom w:val="100"/>
          <w:divBdr>
            <w:top w:val="none" w:sz="0" w:space="0" w:color="auto"/>
            <w:left w:val="none" w:sz="0" w:space="0" w:color="auto"/>
            <w:bottom w:val="none" w:sz="0" w:space="0" w:color="auto"/>
            <w:right w:val="none" w:sz="0" w:space="0" w:color="auto"/>
          </w:divBdr>
        </w:div>
        <w:div w:id="646133741">
          <w:blockQuote w:val="1"/>
          <w:marLeft w:val="720"/>
          <w:marRight w:val="720"/>
          <w:marTop w:val="100"/>
          <w:marBottom w:val="100"/>
          <w:divBdr>
            <w:top w:val="none" w:sz="0" w:space="0" w:color="auto"/>
            <w:left w:val="none" w:sz="0" w:space="0" w:color="auto"/>
            <w:bottom w:val="none" w:sz="0" w:space="0" w:color="auto"/>
            <w:right w:val="none" w:sz="0" w:space="0" w:color="auto"/>
          </w:divBdr>
        </w:div>
        <w:div w:id="7029413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45116958">
          <w:blockQuote w:val="1"/>
          <w:marLeft w:val="720"/>
          <w:marRight w:val="720"/>
          <w:marTop w:val="100"/>
          <w:marBottom w:val="100"/>
          <w:divBdr>
            <w:top w:val="none" w:sz="0" w:space="0" w:color="auto"/>
            <w:left w:val="none" w:sz="0" w:space="0" w:color="auto"/>
            <w:bottom w:val="none" w:sz="0" w:space="0" w:color="auto"/>
            <w:right w:val="none" w:sz="0" w:space="0" w:color="auto"/>
          </w:divBdr>
        </w:div>
        <w:div w:id="1703244400">
          <w:blockQuote w:val="1"/>
          <w:marLeft w:val="720"/>
          <w:marRight w:val="720"/>
          <w:marTop w:val="100"/>
          <w:marBottom w:val="100"/>
          <w:divBdr>
            <w:top w:val="none" w:sz="0" w:space="0" w:color="auto"/>
            <w:left w:val="none" w:sz="0" w:space="0" w:color="auto"/>
            <w:bottom w:val="none" w:sz="0" w:space="0" w:color="auto"/>
            <w:right w:val="none" w:sz="0" w:space="0" w:color="auto"/>
          </w:divBdr>
        </w:div>
        <w:div w:id="126977257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58092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8833549">
      <w:bodyDiv w:val="1"/>
      <w:marLeft w:val="0"/>
      <w:marRight w:val="0"/>
      <w:marTop w:val="0"/>
      <w:marBottom w:val="0"/>
      <w:divBdr>
        <w:top w:val="none" w:sz="0" w:space="0" w:color="auto"/>
        <w:left w:val="none" w:sz="0" w:space="0" w:color="auto"/>
        <w:bottom w:val="none" w:sz="0" w:space="0" w:color="auto"/>
        <w:right w:val="none" w:sz="0" w:space="0" w:color="auto"/>
      </w:divBdr>
    </w:div>
    <w:div w:id="1590384912">
      <w:bodyDiv w:val="1"/>
      <w:marLeft w:val="0"/>
      <w:marRight w:val="0"/>
      <w:marTop w:val="0"/>
      <w:marBottom w:val="0"/>
      <w:divBdr>
        <w:top w:val="none" w:sz="0" w:space="0" w:color="auto"/>
        <w:left w:val="none" w:sz="0" w:space="0" w:color="auto"/>
        <w:bottom w:val="none" w:sz="0" w:space="0" w:color="auto"/>
        <w:right w:val="none" w:sz="0" w:space="0" w:color="auto"/>
      </w:divBdr>
    </w:div>
    <w:div w:id="1682658120">
      <w:bodyDiv w:val="1"/>
      <w:marLeft w:val="0"/>
      <w:marRight w:val="0"/>
      <w:marTop w:val="0"/>
      <w:marBottom w:val="0"/>
      <w:divBdr>
        <w:top w:val="none" w:sz="0" w:space="0" w:color="auto"/>
        <w:left w:val="none" w:sz="0" w:space="0" w:color="auto"/>
        <w:bottom w:val="none" w:sz="0" w:space="0" w:color="auto"/>
        <w:right w:val="none" w:sz="0" w:space="0" w:color="auto"/>
      </w:divBdr>
    </w:div>
    <w:div w:id="1750150121">
      <w:bodyDiv w:val="1"/>
      <w:marLeft w:val="0"/>
      <w:marRight w:val="0"/>
      <w:marTop w:val="0"/>
      <w:marBottom w:val="0"/>
      <w:divBdr>
        <w:top w:val="none" w:sz="0" w:space="0" w:color="auto"/>
        <w:left w:val="none" w:sz="0" w:space="0" w:color="auto"/>
        <w:bottom w:val="none" w:sz="0" w:space="0" w:color="auto"/>
        <w:right w:val="none" w:sz="0" w:space="0" w:color="auto"/>
      </w:divBdr>
    </w:div>
    <w:div w:id="1795980781">
      <w:bodyDiv w:val="1"/>
      <w:marLeft w:val="0"/>
      <w:marRight w:val="0"/>
      <w:marTop w:val="0"/>
      <w:marBottom w:val="0"/>
      <w:divBdr>
        <w:top w:val="none" w:sz="0" w:space="0" w:color="auto"/>
        <w:left w:val="none" w:sz="0" w:space="0" w:color="auto"/>
        <w:bottom w:val="none" w:sz="0" w:space="0" w:color="auto"/>
        <w:right w:val="none" w:sz="0" w:space="0" w:color="auto"/>
      </w:divBdr>
    </w:div>
    <w:div w:id="1966347067">
      <w:bodyDiv w:val="1"/>
      <w:marLeft w:val="0"/>
      <w:marRight w:val="0"/>
      <w:marTop w:val="0"/>
      <w:marBottom w:val="0"/>
      <w:divBdr>
        <w:top w:val="none" w:sz="0" w:space="0" w:color="auto"/>
        <w:left w:val="none" w:sz="0" w:space="0" w:color="auto"/>
        <w:bottom w:val="none" w:sz="0" w:space="0" w:color="auto"/>
        <w:right w:val="none" w:sz="0" w:space="0" w:color="auto"/>
      </w:divBdr>
    </w:div>
    <w:div w:id="1994410742">
      <w:bodyDiv w:val="1"/>
      <w:marLeft w:val="0"/>
      <w:marRight w:val="0"/>
      <w:marTop w:val="0"/>
      <w:marBottom w:val="0"/>
      <w:divBdr>
        <w:top w:val="none" w:sz="0" w:space="0" w:color="auto"/>
        <w:left w:val="none" w:sz="0" w:space="0" w:color="auto"/>
        <w:bottom w:val="none" w:sz="0" w:space="0" w:color="auto"/>
        <w:right w:val="none" w:sz="0" w:space="0" w:color="auto"/>
      </w:divBdr>
    </w:div>
    <w:div w:id="2134253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9</Pages>
  <Words>2147</Words>
  <Characters>12239</Characters>
  <Application>Microsoft Office Word</Application>
  <DocSecurity>0</DocSecurity>
  <Lines>101</Lines>
  <Paragraphs>28</Paragraphs>
  <ScaleCrop>false</ScaleCrop>
  <Company/>
  <LinksUpToDate>false</LinksUpToDate>
  <CharactersWithSpaces>14358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Facente</dc:creator>
  <cp:keywords/>
  <dc:description/>
  <cp:lastModifiedBy>Shelley Facente</cp:lastModifiedBy>
  <cp:revision>3</cp:revision>
  <dcterms:created xsi:type="dcterms:W3CDTF">2025-07-01T20:08:00Z</dcterms:created>
  <dcterms:modified xsi:type="dcterms:W3CDTF">2025-07-03T00:35:00Z</dcterms:modified>
</cp:coreProperties>
</file>