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0565" w14:textId="77777777" w:rsidR="004E07E7" w:rsidRPr="004E07E7" w:rsidRDefault="004E07E7" w:rsidP="004E07E7">
      <w:pPr>
        <w:pStyle w:val="Heading2"/>
        <w:rPr>
          <w:rFonts w:ascii="Trebuchet MS" w:hAnsi="Trebuchet MS" w:cstheme="majorHAnsi"/>
          <w:b/>
          <w:bCs/>
          <w:color w:val="C00000"/>
          <w:sz w:val="28"/>
          <w:szCs w:val="28"/>
          <w:lang w:val="en-US"/>
        </w:rPr>
      </w:pPr>
      <w:bookmarkStart w:id="0" w:name="_Toc125043260"/>
      <w:r w:rsidRPr="004E07E7">
        <w:rPr>
          <w:rFonts w:ascii="Trebuchet MS" w:hAnsi="Trebuchet MS" w:cstheme="majorHAnsi"/>
          <w:b/>
          <w:bCs/>
          <w:color w:val="C00000"/>
          <w:sz w:val="28"/>
          <w:szCs w:val="28"/>
          <w:lang w:val="en-US"/>
        </w:rPr>
        <w:t>RBA Measure Examples</w:t>
      </w:r>
    </w:p>
    <w:p w14:paraId="590CE46E" w14:textId="21B6DB2C" w:rsidR="004E07E7" w:rsidRPr="004E07E7" w:rsidRDefault="004E07E7" w:rsidP="004E07E7">
      <w:pPr>
        <w:rPr>
          <w:rFonts w:ascii="Trebuchet MS" w:eastAsia="Trebuchet MS" w:hAnsi="Trebuchet MS" w:cs="Trebuchet MS"/>
          <w:b/>
          <w:bCs/>
          <w:color w:val="365F91" w:themeColor="accent1" w:themeShade="BF"/>
          <w:sz w:val="24"/>
          <w:szCs w:val="24"/>
        </w:rPr>
      </w:pPr>
      <w:r w:rsidRPr="004E07E7">
        <w:rPr>
          <w:rFonts w:ascii="Trebuchet MS" w:eastAsia="Trebuchet MS" w:hAnsi="Trebuchet MS" w:cs="Trebuchet MS"/>
          <w:b/>
          <w:bCs/>
          <w:color w:val="365F91" w:themeColor="accent1" w:themeShade="BF"/>
          <w:sz w:val="24"/>
          <w:szCs w:val="24"/>
        </w:rPr>
        <w:t xml:space="preserve">Gilead Oncology </w:t>
      </w:r>
      <w:r w:rsidR="001309B8">
        <w:rPr>
          <w:rFonts w:ascii="Trebuchet MS" w:eastAsia="Trebuchet MS" w:hAnsi="Trebuchet MS" w:cs="Trebuchet MS"/>
          <w:b/>
          <w:bCs/>
          <w:color w:val="365F91" w:themeColor="accent1" w:themeShade="BF"/>
          <w:sz w:val="24"/>
          <w:szCs w:val="24"/>
        </w:rPr>
        <w:t>Corporate Giving Program FOA</w:t>
      </w:r>
    </w:p>
    <w:p w14:paraId="6F8939F2" w14:textId="77777777" w:rsidR="004E07E7" w:rsidRPr="004E07E7" w:rsidRDefault="004E07E7" w:rsidP="004E07E7">
      <w:pPr>
        <w:pStyle w:val="Heading2"/>
        <w:rPr>
          <w:rFonts w:ascii="Trebuchet MS" w:hAnsi="Trebuchet MS" w:cstheme="majorHAnsi"/>
          <w:color w:val="365F91" w:themeColor="accent1" w:themeShade="BF"/>
          <w:sz w:val="24"/>
          <w:szCs w:val="24"/>
          <w:lang w:val="en-US"/>
        </w:rPr>
      </w:pPr>
      <w:r w:rsidRPr="004E07E7">
        <w:rPr>
          <w:rFonts w:ascii="Trebuchet MS" w:hAnsi="Trebuchet MS"/>
          <w:color w:val="365F91" w:themeColor="accent1" w:themeShade="BF"/>
          <w:sz w:val="24"/>
          <w:szCs w:val="24"/>
        </w:rPr>
        <w:t>Health Equity in Oncology: Health Equity in mBC Patient and Caregiver Support</w:t>
      </w:r>
    </w:p>
    <w:p w14:paraId="62727703" w14:textId="7CFFBB9A" w:rsidR="00CF0080" w:rsidRPr="00B70F12" w:rsidRDefault="00CF0080" w:rsidP="00CF0080">
      <w:pPr>
        <w:spacing w:before="120" w:after="120"/>
        <w:rPr>
          <w:rFonts w:asciiTheme="majorHAnsi" w:hAnsiTheme="majorHAnsi" w:cstheme="majorHAnsi"/>
          <w:lang w:val="en-US"/>
        </w:rPr>
      </w:pPr>
      <w:r w:rsidRPr="00B70F12">
        <w:rPr>
          <w:rFonts w:asciiTheme="majorHAnsi" w:hAnsiTheme="majorHAnsi" w:cstheme="majorHAnsi"/>
          <w:lang w:val="en-US"/>
        </w:rPr>
        <w:t xml:space="preserve">The following list </w:t>
      </w:r>
      <w:r w:rsidR="00CE78F7" w:rsidRPr="00B70F12">
        <w:rPr>
          <w:rFonts w:asciiTheme="majorHAnsi" w:hAnsiTheme="majorHAnsi" w:cstheme="majorHAnsi"/>
          <w:lang w:val="en-US"/>
        </w:rPr>
        <w:t>provide</w:t>
      </w:r>
      <w:r w:rsidR="00847D18" w:rsidRPr="00B70F12">
        <w:rPr>
          <w:rFonts w:asciiTheme="majorHAnsi" w:hAnsiTheme="majorHAnsi" w:cstheme="majorHAnsi"/>
          <w:lang w:val="en-US"/>
        </w:rPr>
        <w:t>s</w:t>
      </w:r>
      <w:r w:rsidR="00CE78F7" w:rsidRPr="00B70F12">
        <w:rPr>
          <w:rFonts w:asciiTheme="majorHAnsi" w:hAnsiTheme="majorHAnsi" w:cstheme="majorHAnsi"/>
          <w:lang w:val="en-US"/>
        </w:rPr>
        <w:t xml:space="preserve"> </w:t>
      </w:r>
      <w:r w:rsidR="00B70F12" w:rsidRPr="00B70F12">
        <w:rPr>
          <w:rFonts w:asciiTheme="majorHAnsi" w:hAnsiTheme="majorHAnsi" w:cstheme="majorHAnsi"/>
          <w:lang w:val="en-US"/>
        </w:rPr>
        <w:t>examples</w:t>
      </w:r>
      <w:r w:rsidRPr="00B70F12">
        <w:rPr>
          <w:rFonts w:asciiTheme="majorHAnsi" w:hAnsiTheme="majorHAnsi" w:cstheme="majorHAnsi"/>
          <w:lang w:val="en-US"/>
        </w:rPr>
        <w:t xml:space="preserve"> </w:t>
      </w:r>
      <w:r w:rsidR="005946BC" w:rsidRPr="00B70F12">
        <w:rPr>
          <w:rFonts w:asciiTheme="majorHAnsi" w:hAnsiTheme="majorHAnsi" w:cstheme="majorHAnsi"/>
          <w:lang w:val="en-US"/>
        </w:rPr>
        <w:t>of</w:t>
      </w:r>
      <w:r w:rsidRPr="00B70F12">
        <w:rPr>
          <w:rFonts w:asciiTheme="majorHAnsi" w:hAnsiTheme="majorHAnsi" w:cstheme="majorHAnsi"/>
          <w:lang w:val="en-US"/>
        </w:rPr>
        <w:t xml:space="preserve"> measures for your program. Grantees can ad</w:t>
      </w:r>
      <w:r w:rsidR="00B70F12" w:rsidRPr="00B70F12">
        <w:rPr>
          <w:rFonts w:asciiTheme="majorHAnsi" w:hAnsiTheme="majorHAnsi" w:cstheme="majorHAnsi"/>
          <w:lang w:val="en-US"/>
        </w:rPr>
        <w:t>o</w:t>
      </w:r>
      <w:r w:rsidRPr="00B70F12">
        <w:rPr>
          <w:rFonts w:asciiTheme="majorHAnsi" w:hAnsiTheme="majorHAnsi" w:cstheme="majorHAnsi"/>
          <w:lang w:val="en-US"/>
        </w:rPr>
        <w:t>pt</w:t>
      </w:r>
      <w:r w:rsidR="00B70F12" w:rsidRPr="00B70F12">
        <w:rPr>
          <w:rFonts w:asciiTheme="majorHAnsi" w:hAnsiTheme="majorHAnsi" w:cstheme="majorHAnsi"/>
          <w:lang w:val="en-US"/>
        </w:rPr>
        <w:t xml:space="preserve"> or adapt</w:t>
      </w:r>
      <w:r w:rsidRPr="00B70F12">
        <w:rPr>
          <w:rFonts w:asciiTheme="majorHAnsi" w:hAnsiTheme="majorHAnsi" w:cstheme="majorHAnsi"/>
          <w:lang w:val="en-US"/>
        </w:rPr>
        <w:t xml:space="preserve"> these as needed to best address their </w:t>
      </w:r>
      <w:r w:rsidR="00ED4F6A" w:rsidRPr="00B70F12">
        <w:rPr>
          <w:rFonts w:asciiTheme="majorHAnsi" w:hAnsiTheme="majorHAnsi" w:cstheme="majorHAnsi"/>
          <w:lang w:val="en-US"/>
        </w:rPr>
        <w:t>needs</w:t>
      </w:r>
      <w:r w:rsidRPr="00B70F12">
        <w:rPr>
          <w:rFonts w:asciiTheme="majorHAnsi" w:hAnsiTheme="majorHAnsi" w:cstheme="majorHAnsi"/>
          <w:lang w:val="en-US"/>
        </w:rPr>
        <w:t xml:space="preserve"> and </w:t>
      </w:r>
      <w:r w:rsidR="00001978" w:rsidRPr="00B70F12">
        <w:rPr>
          <w:rFonts w:asciiTheme="majorHAnsi" w:hAnsiTheme="majorHAnsi" w:cstheme="majorHAnsi"/>
          <w:lang w:val="en-US"/>
        </w:rPr>
        <w:t>priority</w:t>
      </w:r>
      <w:r w:rsidRPr="00B70F12">
        <w:rPr>
          <w:rFonts w:asciiTheme="majorHAnsi" w:hAnsiTheme="majorHAnsi" w:cstheme="majorHAnsi"/>
          <w:lang w:val="en-US"/>
        </w:rPr>
        <w:t xml:space="preserve"> </w:t>
      </w:r>
      <w:r w:rsidR="005946BC" w:rsidRPr="00B70F12">
        <w:rPr>
          <w:rFonts w:asciiTheme="majorHAnsi" w:hAnsiTheme="majorHAnsi" w:cstheme="majorHAnsi"/>
          <w:lang w:val="en-US"/>
        </w:rPr>
        <w:t>populations or</w:t>
      </w:r>
      <w:r w:rsidR="00B70F12" w:rsidRPr="00B70F12">
        <w:rPr>
          <w:rFonts w:asciiTheme="majorHAnsi" w:hAnsiTheme="majorHAnsi" w:cstheme="majorHAnsi"/>
          <w:lang w:val="en-US"/>
        </w:rPr>
        <w:t xml:space="preserve"> develop their own RBA measures</w:t>
      </w:r>
      <w:r w:rsidRPr="00B70F12">
        <w:rPr>
          <w:rFonts w:asciiTheme="majorHAnsi" w:hAnsiTheme="majorHAnsi" w:cstheme="majorHAnsi"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925"/>
      </w:tblGrid>
      <w:tr w:rsidR="00B70F12" w:rsidRPr="00B70F12" w14:paraId="7F92E397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58318A48" w14:textId="1093A5D5" w:rsidR="00B70F12" w:rsidRPr="00C1550E" w:rsidRDefault="00B70F12" w:rsidP="007A25EF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t>Potential service provided: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 xml:space="preserve"> Developing resources and reducing barriers to empower shared decision making and patient centered decision making for both patients and/or healthcare providers</w:t>
            </w:r>
          </w:p>
        </w:tc>
      </w:tr>
      <w:tr w:rsidR="007A25EF" w:rsidRPr="00B70F12" w14:paraId="3B0C4D85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564FA62B" w14:textId="1D7BB38D" w:rsidR="007A25EF" w:rsidRPr="00B70F12" w:rsidRDefault="007A25EF" w:rsidP="00CF0080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48A69E1B" w14:textId="2B7DD71B" w:rsidR="007A25EF" w:rsidRPr="00B70F12" w:rsidRDefault="007A25EF" w:rsidP="007A25EF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# of participants/persons educated [or reached, served, etc.] through the program</w:t>
            </w:r>
          </w:p>
        </w:tc>
      </w:tr>
      <w:tr w:rsidR="007A25EF" w:rsidRPr="00B70F12" w14:paraId="2AB745F2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71A98E83" w14:textId="74FD46EE" w:rsidR="007A25EF" w:rsidRPr="00B70F12" w:rsidRDefault="007A25EF" w:rsidP="0097584B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10CD3001" w14:textId="3A5F4C42" w:rsidR="007A25EF" w:rsidRPr="00B70F12" w:rsidRDefault="007A25EF" w:rsidP="007A25EF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% of </w:t>
            </w:r>
            <w:r w:rsidR="0097584B">
              <w:rPr>
                <w:rFonts w:asciiTheme="majorHAnsi" w:hAnsiTheme="majorHAnsi" w:cstheme="majorHAnsi"/>
                <w:lang w:val="en-US"/>
              </w:rPr>
              <w:t>healthcare providers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who report </w:t>
            </w:r>
            <w:r w:rsidR="0097584B">
              <w:rPr>
                <w:rFonts w:asciiTheme="majorHAnsi" w:hAnsiTheme="majorHAnsi" w:cstheme="majorHAnsi"/>
                <w:lang w:val="en-US"/>
              </w:rPr>
              <w:t>using the SHARE Approach to shared decision making</w:t>
            </w:r>
          </w:p>
        </w:tc>
      </w:tr>
      <w:tr w:rsidR="007A25EF" w:rsidRPr="00B70F12" w14:paraId="260E70B6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03DAF1C2" w14:textId="7DACBAB5" w:rsidR="007A25EF" w:rsidRPr="00B70F12" w:rsidRDefault="007A25EF" w:rsidP="007A25EF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01795069" w14:textId="569C82CD" w:rsidR="007A25EF" w:rsidRPr="00B70F12" w:rsidRDefault="007A25EF" w:rsidP="007A25EF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and/or % of </w:t>
            </w:r>
            <w:r w:rsidR="0097584B">
              <w:rPr>
                <w:rFonts w:asciiTheme="majorHAnsi" w:hAnsiTheme="majorHAnsi" w:cstheme="majorHAnsi"/>
                <w:lang w:val="en-US"/>
              </w:rPr>
              <w:t>patients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7584B">
              <w:rPr>
                <w:rFonts w:asciiTheme="majorHAnsi" w:hAnsiTheme="majorHAnsi" w:cstheme="majorHAnsi"/>
                <w:lang w:val="en-US"/>
              </w:rPr>
              <w:t>who report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7584B">
              <w:rPr>
                <w:rFonts w:asciiTheme="majorHAnsi" w:hAnsiTheme="majorHAnsi" w:cstheme="majorHAnsi"/>
                <w:lang w:val="en-US"/>
              </w:rPr>
              <w:t>feeling knowledgeable regarding their treatment and progress</w:t>
            </w:r>
          </w:p>
        </w:tc>
      </w:tr>
      <w:tr w:rsidR="00B70F12" w:rsidRPr="00B70F12" w14:paraId="4516BE91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48822D75" w14:textId="571BB7BD" w:rsidR="00B70F12" w:rsidRPr="00C1550E" w:rsidRDefault="00B70F12" w:rsidP="0031372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t xml:space="preserve">Potential service provided: 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Development and measurement of self-advocacy tools for patients such as communicating with their care team and managing adverse events, or discussing complimentary approaches to care</w:t>
            </w:r>
          </w:p>
        </w:tc>
      </w:tr>
      <w:tr w:rsidR="00B70F12" w:rsidRPr="00B70F12" w14:paraId="09551D0B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4998B15" w14:textId="77777777" w:rsidR="00B70F12" w:rsidRPr="00B70F12" w:rsidRDefault="00B70F12" w:rsidP="00313725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61796644" w14:textId="250E4333" w:rsidR="00B70F12" w:rsidRPr="00B70F12" w:rsidRDefault="0097584B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97584B">
              <w:rPr>
                <w:rFonts w:asciiTheme="majorHAnsi" w:hAnsiTheme="majorHAnsi" w:cstheme="majorHAnsi"/>
              </w:rPr>
              <w:t># of counseling sessions to provide patients</w:t>
            </w:r>
            <w:r>
              <w:rPr>
                <w:rFonts w:asciiTheme="majorHAnsi" w:hAnsiTheme="majorHAnsi" w:cstheme="majorHAnsi"/>
              </w:rPr>
              <w:t xml:space="preserve"> with self-advocacy tools</w:t>
            </w:r>
          </w:p>
        </w:tc>
      </w:tr>
      <w:tr w:rsidR="00B70F12" w:rsidRPr="00B70F12" w14:paraId="59E7DC35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69D5FA3E" w14:textId="1B475029" w:rsidR="00B70F12" w:rsidRPr="00B70F12" w:rsidRDefault="00B70F12" w:rsidP="0097584B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50EE1D53" w14:textId="42742E9F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% of </w:t>
            </w:r>
            <w:r w:rsidR="0097584B">
              <w:rPr>
                <w:rFonts w:asciiTheme="majorHAnsi" w:hAnsiTheme="majorHAnsi" w:cstheme="majorHAnsi"/>
                <w:lang w:val="en-US"/>
              </w:rPr>
              <w:t xml:space="preserve">patients who report utilizing self-advocacy tools in their treatment </w:t>
            </w:r>
          </w:p>
        </w:tc>
      </w:tr>
      <w:tr w:rsidR="00B70F12" w:rsidRPr="00B70F12" w14:paraId="6461ADD4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0795CB03" w14:textId="19DAE5C0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1899EE8F" w14:textId="58A46AAF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and/or % of </w:t>
            </w:r>
            <w:r w:rsidR="0097584B">
              <w:rPr>
                <w:rFonts w:asciiTheme="majorHAnsi" w:hAnsiTheme="majorHAnsi" w:cstheme="majorHAnsi"/>
                <w:lang w:val="en-US"/>
              </w:rPr>
              <w:t xml:space="preserve">patients who report feeling empowered to discuss with their care team regarding managing adverse events or complimentary approaches to care </w:t>
            </w:r>
          </w:p>
        </w:tc>
      </w:tr>
      <w:tr w:rsidR="00B70F12" w:rsidRPr="00B70F12" w14:paraId="077E075B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64A7769B" w14:textId="4BEA1542" w:rsidR="00B70F12" w:rsidRPr="00C1550E" w:rsidRDefault="00B70F12" w:rsidP="0031372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t xml:space="preserve">Potential service provided: 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Patient and caregiver resources and/or services to support consistent techniques for managing treatment side effects</w:t>
            </w:r>
          </w:p>
        </w:tc>
      </w:tr>
      <w:tr w:rsidR="00B70F12" w:rsidRPr="00B70F12" w14:paraId="637F4FB9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08ECE8E2" w14:textId="77777777" w:rsidR="00B70F12" w:rsidRPr="00B70F12" w:rsidRDefault="00B70F12" w:rsidP="00313725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03AEC9C5" w14:textId="1D30EE1C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of </w:t>
            </w:r>
            <w:r w:rsidR="0097584B">
              <w:rPr>
                <w:rFonts w:asciiTheme="majorHAnsi" w:hAnsiTheme="majorHAnsi" w:cstheme="majorHAnsi"/>
                <w:lang w:val="en-US"/>
              </w:rPr>
              <w:t>resources provided to patients or their caregivers to manage treatment side effects</w:t>
            </w:r>
          </w:p>
        </w:tc>
      </w:tr>
      <w:tr w:rsidR="00B70F12" w:rsidRPr="00B70F12" w14:paraId="1D0BBAFA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05A2CEDE" w14:textId="4D52E1E4" w:rsidR="00B70F12" w:rsidRPr="00B70F12" w:rsidRDefault="00B70F12" w:rsidP="0097584B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51E6C476" w14:textId="54C45142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% of participants who report being satisfied or very satisfied</w:t>
            </w:r>
            <w:r w:rsidR="0097584B">
              <w:rPr>
                <w:rFonts w:asciiTheme="majorHAnsi" w:hAnsiTheme="majorHAnsi" w:cstheme="majorHAnsi"/>
                <w:lang w:val="en-US"/>
              </w:rPr>
              <w:t xml:space="preserve"> with resources and services to support consistent techniques for managing treatment side effects</w:t>
            </w:r>
          </w:p>
        </w:tc>
      </w:tr>
      <w:tr w:rsidR="00B70F12" w:rsidRPr="00B70F12" w14:paraId="1FC3EDB5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4A5286E0" w14:textId="7FB0C57C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5B0D13F8" w14:textId="64AD4A5B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and/or % of </w:t>
            </w:r>
            <w:r w:rsidR="0097584B">
              <w:rPr>
                <w:rFonts w:asciiTheme="majorHAnsi" w:hAnsiTheme="majorHAnsi" w:cstheme="majorHAnsi"/>
                <w:lang w:val="en-US"/>
              </w:rPr>
              <w:t>patients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6B0FDB">
              <w:rPr>
                <w:rFonts w:asciiTheme="majorHAnsi" w:hAnsiTheme="majorHAnsi" w:cstheme="majorHAnsi"/>
                <w:lang w:val="en-US"/>
              </w:rPr>
              <w:t>reporting severe treatment side effects</w:t>
            </w:r>
          </w:p>
        </w:tc>
      </w:tr>
      <w:tr w:rsidR="00B70F12" w:rsidRPr="00B70F12" w14:paraId="1FB262F6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0B7EEF63" w14:textId="78E566B3" w:rsidR="00B70F12" w:rsidRPr="00C1550E" w:rsidRDefault="00B70F12" w:rsidP="0031372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t xml:space="preserve">Potential service provided: 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Supportive oncology care, including palliative psychosocial care, palliative patient and caregiver education, addressing quality of life concerns, or management of disease symptoms</w:t>
            </w:r>
          </w:p>
        </w:tc>
      </w:tr>
      <w:tr w:rsidR="00B70F12" w:rsidRPr="00B70F12" w14:paraId="68F39372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98B4179" w14:textId="77777777" w:rsidR="00B70F12" w:rsidRPr="00B70F12" w:rsidRDefault="00B70F12" w:rsidP="00313725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0E5B8B16" w14:textId="22580C3F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of </w:t>
            </w:r>
            <w:r w:rsidR="00584584">
              <w:rPr>
                <w:rFonts w:asciiTheme="majorHAnsi" w:hAnsiTheme="majorHAnsi" w:cstheme="majorHAnsi"/>
                <w:lang w:val="en-US"/>
              </w:rPr>
              <w:t>patients receiving supportive oncology care</w:t>
            </w:r>
          </w:p>
        </w:tc>
      </w:tr>
      <w:tr w:rsidR="00B70F12" w:rsidRPr="00B70F12" w14:paraId="4C628136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A761753" w14:textId="300F7CB2" w:rsidR="00B70F12" w:rsidRPr="00B70F12" w:rsidRDefault="00B70F12" w:rsidP="00584584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3F697962" w14:textId="1721EA3D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% of </w:t>
            </w:r>
            <w:r w:rsidR="009346EA">
              <w:rPr>
                <w:rFonts w:asciiTheme="majorHAnsi" w:hAnsiTheme="majorHAnsi" w:cstheme="majorHAnsi"/>
                <w:lang w:val="en-US"/>
              </w:rPr>
              <w:t>eligible patients who received palliative psychosocial care</w:t>
            </w:r>
            <w:r w:rsidR="00584584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B70F12" w:rsidRPr="00B70F12" w14:paraId="697085E5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46AD1254" w14:textId="6CF80C1B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78A4E84B" w14:textId="48868DBB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and/or % of </w:t>
            </w:r>
            <w:r w:rsidR="00584584">
              <w:rPr>
                <w:rFonts w:asciiTheme="majorHAnsi" w:hAnsiTheme="majorHAnsi" w:cstheme="majorHAnsi"/>
                <w:lang w:val="en-US"/>
              </w:rPr>
              <w:t>patients who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report</w:t>
            </w:r>
            <w:r w:rsidR="00584584">
              <w:rPr>
                <w:rFonts w:asciiTheme="majorHAnsi" w:hAnsiTheme="majorHAnsi" w:cstheme="majorHAnsi"/>
                <w:lang w:val="en-US"/>
              </w:rPr>
              <w:t xml:space="preserve"> high quality of life scores on a valid assessment tool (such as the CarGOQoL, EORTC and FACT-br</w:t>
            </w:r>
            <w:r w:rsidR="00584584">
              <w:rPr>
                <w:rFonts w:asciiTheme="majorHAnsi" w:hAnsiTheme="majorHAnsi" w:cstheme="majorHAnsi"/>
              </w:rPr>
              <w:t>)</w:t>
            </w:r>
          </w:p>
        </w:tc>
      </w:tr>
      <w:tr w:rsidR="00B70F12" w:rsidRPr="00B70F12" w14:paraId="704B6CDD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7782CEFB" w14:textId="2B061224" w:rsidR="00B70F12" w:rsidRPr="00C1550E" w:rsidRDefault="00B70F12" w:rsidP="00C1550E">
            <w:pPr>
              <w:keepNext/>
              <w:keepLines/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lastRenderedPageBreak/>
              <w:t xml:space="preserve">Potential service provided: 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Patient support services such as nutritional counseling, health psychology or health adjacent services</w:t>
            </w:r>
          </w:p>
        </w:tc>
      </w:tr>
      <w:tr w:rsidR="00B70F12" w:rsidRPr="00B70F12" w14:paraId="197872C4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89C59E4" w14:textId="77777777" w:rsidR="00B70F12" w:rsidRPr="00B70F12" w:rsidRDefault="00B70F12" w:rsidP="00C1550E">
            <w:pPr>
              <w:keepNext/>
              <w:keepLines/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41314031" w14:textId="15ADB389" w:rsidR="00B70F12" w:rsidRPr="00B70F12" w:rsidRDefault="00B70F12" w:rsidP="00C1550E">
            <w:pPr>
              <w:keepNext/>
              <w:keepLines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of </w:t>
            </w:r>
            <w:r w:rsidR="009346EA">
              <w:rPr>
                <w:rFonts w:asciiTheme="majorHAnsi" w:hAnsiTheme="majorHAnsi" w:cstheme="majorHAnsi"/>
                <w:lang w:val="en-US"/>
              </w:rPr>
              <w:t>patients receiving nutritional counseling</w:t>
            </w:r>
          </w:p>
        </w:tc>
      </w:tr>
      <w:tr w:rsidR="00B70F12" w:rsidRPr="00B70F12" w14:paraId="4C73E30F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E22A75C" w14:textId="5D7D31EE" w:rsidR="00B70F12" w:rsidRPr="00B70F12" w:rsidRDefault="00B70F12" w:rsidP="00C1550E">
            <w:pPr>
              <w:keepNext/>
              <w:keepLines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027B3A30" w14:textId="0C01C1F7" w:rsidR="00B70F12" w:rsidRPr="00B70F12" w:rsidRDefault="00B70F12" w:rsidP="00C1550E">
            <w:pPr>
              <w:keepNext/>
              <w:keepLines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% of </w:t>
            </w:r>
            <w:r w:rsidR="009346EA">
              <w:rPr>
                <w:rFonts w:asciiTheme="majorHAnsi" w:hAnsiTheme="majorHAnsi" w:cstheme="majorHAnsi"/>
                <w:lang w:val="en-US"/>
              </w:rPr>
              <w:t>patients who ‘graduate’ from patient support services</w:t>
            </w:r>
          </w:p>
        </w:tc>
      </w:tr>
      <w:tr w:rsidR="00B70F12" w:rsidRPr="00B70F12" w14:paraId="5DF7F6FC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53BBDA83" w14:textId="26F1519A" w:rsidR="00B70F12" w:rsidRPr="00B70F12" w:rsidRDefault="00B70F12" w:rsidP="00C1550E">
            <w:pPr>
              <w:keepNext/>
              <w:keepLines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68BAB67E" w14:textId="19332AA5" w:rsidR="00B70F12" w:rsidRPr="00B70F12" w:rsidRDefault="00B70F12" w:rsidP="00C1550E">
            <w:pPr>
              <w:keepNext/>
              <w:keepLines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and/or % of </w:t>
            </w:r>
            <w:r w:rsidR="009346EA">
              <w:rPr>
                <w:rFonts w:asciiTheme="majorHAnsi" w:hAnsiTheme="majorHAnsi" w:cstheme="majorHAnsi"/>
                <w:lang w:val="en-US"/>
              </w:rPr>
              <w:t>patients</w:t>
            </w:r>
            <w:r w:rsidRPr="00B70F1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346EA">
              <w:rPr>
                <w:rFonts w:asciiTheme="majorHAnsi" w:hAnsiTheme="majorHAnsi" w:cstheme="majorHAnsi"/>
                <w:lang w:val="en-US"/>
              </w:rPr>
              <w:t>who report health psychology services were supportive in treatment adherence</w:t>
            </w:r>
          </w:p>
        </w:tc>
      </w:tr>
      <w:tr w:rsidR="00B70F12" w:rsidRPr="00B70F12" w14:paraId="6652112F" w14:textId="77777777" w:rsidTr="00C1550E">
        <w:trPr>
          <w:trHeight w:val="576"/>
          <w:jc w:val="center"/>
        </w:trPr>
        <w:tc>
          <w:tcPr>
            <w:tcW w:w="9350" w:type="dxa"/>
            <w:gridSpan w:val="2"/>
            <w:shd w:val="clear" w:color="auto" w:fill="0070C0"/>
            <w:vAlign w:val="center"/>
          </w:tcPr>
          <w:p w14:paraId="4E7E821A" w14:textId="3E8A3DE9" w:rsidR="00B70F12" w:rsidRPr="00C1550E" w:rsidRDefault="00B70F12" w:rsidP="0031372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C1550E">
              <w:rPr>
                <w:rFonts w:asciiTheme="majorHAnsi" w:hAnsiTheme="majorHAnsi" w:cstheme="majorHAnsi"/>
                <w:color w:val="FFFFFF" w:themeColor="background1"/>
                <w:lang w:val="en-US"/>
              </w:rPr>
              <w:t xml:space="preserve">Potential service provided: </w:t>
            </w:r>
            <w:r w:rsidRPr="00C1550E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Services for support to alleviate the financial or treatment related time toxicity of a cancer diagnosis, such as childcare or transportation for patients in treatment</w:t>
            </w:r>
          </w:p>
        </w:tc>
      </w:tr>
      <w:tr w:rsidR="00B70F12" w:rsidRPr="00B70F12" w14:paraId="5FCB12B5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756A2DEF" w14:textId="77777777" w:rsidR="00B70F12" w:rsidRPr="00B70F12" w:rsidRDefault="00B70F12" w:rsidP="00313725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much did we do?</w:t>
            </w:r>
          </w:p>
        </w:tc>
        <w:tc>
          <w:tcPr>
            <w:tcW w:w="6925" w:type="dxa"/>
            <w:vAlign w:val="center"/>
          </w:tcPr>
          <w:p w14:paraId="05711F51" w14:textId="69211CE8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# of </w:t>
            </w:r>
            <w:r w:rsidR="009346EA">
              <w:rPr>
                <w:rFonts w:asciiTheme="majorHAnsi" w:hAnsiTheme="majorHAnsi" w:cstheme="majorHAnsi"/>
                <w:lang w:val="en-US"/>
              </w:rPr>
              <w:t>patients who receive childcare or transportation assistance</w:t>
            </w:r>
          </w:p>
        </w:tc>
      </w:tr>
      <w:tr w:rsidR="00B70F12" w:rsidRPr="00B70F12" w14:paraId="695E3B01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6939D751" w14:textId="365EE193" w:rsidR="00B70F12" w:rsidRPr="00B70F12" w:rsidRDefault="00B70F12" w:rsidP="009346EA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How well did we do it?</w:t>
            </w:r>
          </w:p>
        </w:tc>
        <w:tc>
          <w:tcPr>
            <w:tcW w:w="6925" w:type="dxa"/>
            <w:vAlign w:val="center"/>
          </w:tcPr>
          <w:p w14:paraId="6B063CFA" w14:textId="301D4D84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 xml:space="preserve">% of </w:t>
            </w:r>
            <w:r w:rsidR="009346EA">
              <w:rPr>
                <w:rFonts w:asciiTheme="majorHAnsi" w:hAnsiTheme="majorHAnsi" w:cstheme="majorHAnsi"/>
                <w:lang w:val="en-US"/>
              </w:rPr>
              <w:t>patients</w:t>
            </w:r>
            <w:r w:rsidR="00AE3F1A">
              <w:rPr>
                <w:rFonts w:asciiTheme="majorHAnsi" w:hAnsiTheme="majorHAnsi" w:cstheme="majorHAnsi"/>
                <w:lang w:val="en-US"/>
              </w:rPr>
              <w:t xml:space="preserve"> who would recommend these services to their friends</w:t>
            </w:r>
          </w:p>
        </w:tc>
      </w:tr>
      <w:tr w:rsidR="00B70F12" w:rsidRPr="00B70F12" w14:paraId="763AF3C9" w14:textId="77777777" w:rsidTr="00C1550E">
        <w:trPr>
          <w:trHeight w:val="576"/>
          <w:jc w:val="center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0FB58703" w14:textId="29CE04E9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Is anyone better off?</w:t>
            </w:r>
          </w:p>
        </w:tc>
        <w:tc>
          <w:tcPr>
            <w:tcW w:w="6925" w:type="dxa"/>
            <w:vAlign w:val="center"/>
          </w:tcPr>
          <w:p w14:paraId="420934CA" w14:textId="69922F72" w:rsidR="00B70F12" w:rsidRPr="00B70F12" w:rsidRDefault="00B70F12" w:rsidP="00313725">
            <w:pPr>
              <w:rPr>
                <w:rFonts w:asciiTheme="majorHAnsi" w:hAnsiTheme="majorHAnsi" w:cstheme="majorHAnsi"/>
                <w:lang w:val="en-US"/>
              </w:rPr>
            </w:pPr>
            <w:r w:rsidRPr="00B70F12">
              <w:rPr>
                <w:rFonts w:asciiTheme="majorHAnsi" w:hAnsiTheme="majorHAnsi" w:cstheme="majorHAnsi"/>
                <w:lang w:val="en-US"/>
              </w:rPr>
              <w:t># and/or % of pa</w:t>
            </w:r>
            <w:r w:rsidR="009346EA">
              <w:rPr>
                <w:rFonts w:asciiTheme="majorHAnsi" w:hAnsiTheme="majorHAnsi" w:cstheme="majorHAnsi"/>
                <w:lang w:val="en-US"/>
              </w:rPr>
              <w:t>tients who obtained/retained care</w:t>
            </w:r>
          </w:p>
        </w:tc>
      </w:tr>
      <w:bookmarkEnd w:id="0"/>
    </w:tbl>
    <w:p w14:paraId="71357E38" w14:textId="11CE3222" w:rsidR="00CF0080" w:rsidRPr="00B70F12" w:rsidRDefault="00CF0080" w:rsidP="007A25EF">
      <w:pPr>
        <w:spacing w:line="240" w:lineRule="auto"/>
        <w:rPr>
          <w:rFonts w:asciiTheme="majorHAnsi" w:hAnsiTheme="majorHAnsi" w:cstheme="majorHAnsi"/>
          <w:lang w:val="en-US"/>
        </w:rPr>
      </w:pPr>
    </w:p>
    <w:sectPr w:rsidR="00CF0080" w:rsidRPr="00B70F12" w:rsidSect="00D616D9">
      <w:pgSz w:w="12240" w:h="15840"/>
      <w:pgMar w:top="1440" w:right="1440" w:bottom="1440" w:left="1440" w:header="720" w:footer="72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4E40" w14:textId="77777777" w:rsidR="00FC1ED7" w:rsidRDefault="00FC1ED7">
      <w:pPr>
        <w:spacing w:line="240" w:lineRule="auto"/>
      </w:pPr>
      <w:r>
        <w:separator/>
      </w:r>
    </w:p>
  </w:endnote>
  <w:endnote w:type="continuationSeparator" w:id="0">
    <w:p w14:paraId="72E51B18" w14:textId="77777777" w:rsidR="00FC1ED7" w:rsidRDefault="00FC1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EE3D" w14:textId="77777777" w:rsidR="00FC1ED7" w:rsidRDefault="00FC1ED7">
      <w:pPr>
        <w:spacing w:line="240" w:lineRule="auto"/>
      </w:pPr>
      <w:r>
        <w:separator/>
      </w:r>
    </w:p>
  </w:footnote>
  <w:footnote w:type="continuationSeparator" w:id="0">
    <w:p w14:paraId="3B362DB6" w14:textId="77777777" w:rsidR="00FC1ED7" w:rsidRDefault="00FC1E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C6"/>
    <w:multiLevelType w:val="hybridMultilevel"/>
    <w:tmpl w:val="0D1A093C"/>
    <w:lvl w:ilvl="0" w:tplc="AD9CD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5BB"/>
    <w:multiLevelType w:val="hybridMultilevel"/>
    <w:tmpl w:val="B8923074"/>
    <w:lvl w:ilvl="0" w:tplc="BFAEFF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613"/>
    <w:multiLevelType w:val="multilevel"/>
    <w:tmpl w:val="89C6FE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4E75EE"/>
    <w:multiLevelType w:val="multilevel"/>
    <w:tmpl w:val="C3AE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815FD3"/>
    <w:multiLevelType w:val="hybridMultilevel"/>
    <w:tmpl w:val="DB8E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B4D"/>
    <w:multiLevelType w:val="hybridMultilevel"/>
    <w:tmpl w:val="6FEACB0A"/>
    <w:lvl w:ilvl="0" w:tplc="0E4E295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03B74"/>
    <w:multiLevelType w:val="hybridMultilevel"/>
    <w:tmpl w:val="0A3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339B0"/>
    <w:multiLevelType w:val="multilevel"/>
    <w:tmpl w:val="B0B22A2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1B9D0DF7"/>
    <w:multiLevelType w:val="hybridMultilevel"/>
    <w:tmpl w:val="F670D12E"/>
    <w:lvl w:ilvl="0" w:tplc="87EE54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53534"/>
    <w:multiLevelType w:val="multilevel"/>
    <w:tmpl w:val="A6C67A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22066CA"/>
    <w:multiLevelType w:val="hybridMultilevel"/>
    <w:tmpl w:val="5B042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4AE6"/>
    <w:multiLevelType w:val="hybridMultilevel"/>
    <w:tmpl w:val="5B5083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A3A2101"/>
    <w:multiLevelType w:val="hybridMultilevel"/>
    <w:tmpl w:val="53BCEC7A"/>
    <w:lvl w:ilvl="0" w:tplc="D838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D0CC9"/>
    <w:multiLevelType w:val="hybridMultilevel"/>
    <w:tmpl w:val="4ED8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B1C4B"/>
    <w:multiLevelType w:val="hybridMultilevel"/>
    <w:tmpl w:val="2248AD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A955B9"/>
    <w:multiLevelType w:val="multilevel"/>
    <w:tmpl w:val="9F282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6170C9"/>
    <w:multiLevelType w:val="hybridMultilevel"/>
    <w:tmpl w:val="2604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60DA"/>
    <w:multiLevelType w:val="multilevel"/>
    <w:tmpl w:val="B77C90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36372A3E"/>
    <w:multiLevelType w:val="hybridMultilevel"/>
    <w:tmpl w:val="E0DE388C"/>
    <w:lvl w:ilvl="0" w:tplc="84C2891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C61E2"/>
    <w:multiLevelType w:val="hybridMultilevel"/>
    <w:tmpl w:val="DCB0C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85906"/>
    <w:multiLevelType w:val="multilevel"/>
    <w:tmpl w:val="0CA8D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B573C5"/>
    <w:multiLevelType w:val="hybridMultilevel"/>
    <w:tmpl w:val="868E6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53496"/>
    <w:multiLevelType w:val="hybridMultilevel"/>
    <w:tmpl w:val="9E243B44"/>
    <w:lvl w:ilvl="0" w:tplc="A658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0551"/>
    <w:multiLevelType w:val="multilevel"/>
    <w:tmpl w:val="2BF2326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A995E45"/>
    <w:multiLevelType w:val="multilevel"/>
    <w:tmpl w:val="8CFE5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AFE1790"/>
    <w:multiLevelType w:val="hybridMultilevel"/>
    <w:tmpl w:val="2E5E48F8"/>
    <w:lvl w:ilvl="0" w:tplc="87EE5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0DA2"/>
    <w:multiLevelType w:val="hybridMultilevel"/>
    <w:tmpl w:val="5F8CE038"/>
    <w:lvl w:ilvl="0" w:tplc="5E1CD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B28FB"/>
    <w:multiLevelType w:val="multilevel"/>
    <w:tmpl w:val="D1B47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6E926B1"/>
    <w:multiLevelType w:val="hybridMultilevel"/>
    <w:tmpl w:val="DF5A0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1B6F50"/>
    <w:multiLevelType w:val="multilevel"/>
    <w:tmpl w:val="22465C1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0" w15:restartNumberingAfterBreak="0">
    <w:nsid w:val="7C466674"/>
    <w:multiLevelType w:val="hybridMultilevel"/>
    <w:tmpl w:val="830E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53D08"/>
    <w:multiLevelType w:val="hybridMultilevel"/>
    <w:tmpl w:val="5E9E4DE6"/>
    <w:lvl w:ilvl="0" w:tplc="87EE5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3860">
    <w:abstractNumId w:val="17"/>
  </w:num>
  <w:num w:numId="2" w16cid:durableId="863789405">
    <w:abstractNumId w:val="24"/>
  </w:num>
  <w:num w:numId="3" w16cid:durableId="451175822">
    <w:abstractNumId w:val="15"/>
  </w:num>
  <w:num w:numId="4" w16cid:durableId="1466898594">
    <w:abstractNumId w:val="7"/>
  </w:num>
  <w:num w:numId="5" w16cid:durableId="1648123603">
    <w:abstractNumId w:val="29"/>
  </w:num>
  <w:num w:numId="6" w16cid:durableId="1705447464">
    <w:abstractNumId w:val="23"/>
  </w:num>
  <w:num w:numId="7" w16cid:durableId="1978533216">
    <w:abstractNumId w:val="27"/>
  </w:num>
  <w:num w:numId="8" w16cid:durableId="1222716442">
    <w:abstractNumId w:val="9"/>
  </w:num>
  <w:num w:numId="9" w16cid:durableId="245310605">
    <w:abstractNumId w:val="20"/>
  </w:num>
  <w:num w:numId="10" w16cid:durableId="324935626">
    <w:abstractNumId w:val="6"/>
  </w:num>
  <w:num w:numId="11" w16cid:durableId="236406164">
    <w:abstractNumId w:val="19"/>
  </w:num>
  <w:num w:numId="12" w16cid:durableId="476726966">
    <w:abstractNumId w:val="13"/>
  </w:num>
  <w:num w:numId="13" w16cid:durableId="1969360539">
    <w:abstractNumId w:val="3"/>
  </w:num>
  <w:num w:numId="14" w16cid:durableId="1983076640">
    <w:abstractNumId w:val="2"/>
  </w:num>
  <w:num w:numId="15" w16cid:durableId="1252813214">
    <w:abstractNumId w:val="0"/>
  </w:num>
  <w:num w:numId="16" w16cid:durableId="368261989">
    <w:abstractNumId w:val="31"/>
  </w:num>
  <w:num w:numId="17" w16cid:durableId="1275291366">
    <w:abstractNumId w:val="21"/>
  </w:num>
  <w:num w:numId="18" w16cid:durableId="192307526">
    <w:abstractNumId w:val="8"/>
  </w:num>
  <w:num w:numId="19" w16cid:durableId="1994790221">
    <w:abstractNumId w:val="28"/>
  </w:num>
  <w:num w:numId="20" w16cid:durableId="330184735">
    <w:abstractNumId w:val="25"/>
  </w:num>
  <w:num w:numId="21" w16cid:durableId="601687293">
    <w:abstractNumId w:val="22"/>
  </w:num>
  <w:num w:numId="22" w16cid:durableId="931813680">
    <w:abstractNumId w:val="18"/>
  </w:num>
  <w:num w:numId="23" w16cid:durableId="342972208">
    <w:abstractNumId w:val="5"/>
  </w:num>
  <w:num w:numId="24" w16cid:durableId="112020200">
    <w:abstractNumId w:val="1"/>
  </w:num>
  <w:num w:numId="25" w16cid:durableId="392314367">
    <w:abstractNumId w:val="10"/>
  </w:num>
  <w:num w:numId="26" w16cid:durableId="613174890">
    <w:abstractNumId w:val="16"/>
  </w:num>
  <w:num w:numId="27" w16cid:durableId="2016154742">
    <w:abstractNumId w:val="26"/>
  </w:num>
  <w:num w:numId="28" w16cid:durableId="155653185">
    <w:abstractNumId w:val="11"/>
  </w:num>
  <w:num w:numId="29" w16cid:durableId="385299336">
    <w:abstractNumId w:val="14"/>
  </w:num>
  <w:num w:numId="30" w16cid:durableId="716012381">
    <w:abstractNumId w:val="30"/>
  </w:num>
  <w:num w:numId="31" w16cid:durableId="696344925">
    <w:abstractNumId w:val="4"/>
  </w:num>
  <w:num w:numId="32" w16cid:durableId="80119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NzQysDAxMjSxNDRW0lEKTi0uzszPAykwrAUAfN32jiwAAAA="/>
  </w:docVars>
  <w:rsids>
    <w:rsidRoot w:val="00DC6790"/>
    <w:rsid w:val="00001978"/>
    <w:rsid w:val="000050C9"/>
    <w:rsid w:val="0000733C"/>
    <w:rsid w:val="00010262"/>
    <w:rsid w:val="00015089"/>
    <w:rsid w:val="000261A7"/>
    <w:rsid w:val="00045925"/>
    <w:rsid w:val="00047CF6"/>
    <w:rsid w:val="000562B9"/>
    <w:rsid w:val="00061CB4"/>
    <w:rsid w:val="0006539E"/>
    <w:rsid w:val="00076252"/>
    <w:rsid w:val="00083F5F"/>
    <w:rsid w:val="0008626B"/>
    <w:rsid w:val="00090551"/>
    <w:rsid w:val="000957F2"/>
    <w:rsid w:val="000B659A"/>
    <w:rsid w:val="000D18F0"/>
    <w:rsid w:val="000D6925"/>
    <w:rsid w:val="000D7AD7"/>
    <w:rsid w:val="000E1292"/>
    <w:rsid w:val="000E27D6"/>
    <w:rsid w:val="000E2C61"/>
    <w:rsid w:val="000E36A5"/>
    <w:rsid w:val="000F785E"/>
    <w:rsid w:val="00112EDA"/>
    <w:rsid w:val="00113557"/>
    <w:rsid w:val="00115808"/>
    <w:rsid w:val="001206B8"/>
    <w:rsid w:val="00123380"/>
    <w:rsid w:val="001309B8"/>
    <w:rsid w:val="0013508B"/>
    <w:rsid w:val="00141E02"/>
    <w:rsid w:val="00152867"/>
    <w:rsid w:val="0016156F"/>
    <w:rsid w:val="001618A4"/>
    <w:rsid w:val="001635CA"/>
    <w:rsid w:val="001756F2"/>
    <w:rsid w:val="00177B3E"/>
    <w:rsid w:val="0018109E"/>
    <w:rsid w:val="0018530D"/>
    <w:rsid w:val="00192F65"/>
    <w:rsid w:val="00193BB6"/>
    <w:rsid w:val="001A4152"/>
    <w:rsid w:val="001A6158"/>
    <w:rsid w:val="001B6C1D"/>
    <w:rsid w:val="001C06C1"/>
    <w:rsid w:val="001C7E27"/>
    <w:rsid w:val="001D3588"/>
    <w:rsid w:val="001D6816"/>
    <w:rsid w:val="001D7139"/>
    <w:rsid w:val="001E24D8"/>
    <w:rsid w:val="001F0341"/>
    <w:rsid w:val="001F0422"/>
    <w:rsid w:val="00207E21"/>
    <w:rsid w:val="00213E7E"/>
    <w:rsid w:val="0021558D"/>
    <w:rsid w:val="00223743"/>
    <w:rsid w:val="002417BA"/>
    <w:rsid w:val="0026475C"/>
    <w:rsid w:val="00266D06"/>
    <w:rsid w:val="0026715A"/>
    <w:rsid w:val="002743A8"/>
    <w:rsid w:val="00287804"/>
    <w:rsid w:val="00290329"/>
    <w:rsid w:val="002B1CB1"/>
    <w:rsid w:val="002B365B"/>
    <w:rsid w:val="002C1DCA"/>
    <w:rsid w:val="002D33F3"/>
    <w:rsid w:val="002D4EDC"/>
    <w:rsid w:val="002D59F8"/>
    <w:rsid w:val="002E4510"/>
    <w:rsid w:val="002F03CF"/>
    <w:rsid w:val="002F3346"/>
    <w:rsid w:val="002F5BBE"/>
    <w:rsid w:val="002F72C0"/>
    <w:rsid w:val="00307D26"/>
    <w:rsid w:val="0031658F"/>
    <w:rsid w:val="003255D9"/>
    <w:rsid w:val="00331CBA"/>
    <w:rsid w:val="00334743"/>
    <w:rsid w:val="00334BFA"/>
    <w:rsid w:val="00340B14"/>
    <w:rsid w:val="0034196B"/>
    <w:rsid w:val="00341CDF"/>
    <w:rsid w:val="00343FD6"/>
    <w:rsid w:val="00347A53"/>
    <w:rsid w:val="00351CE9"/>
    <w:rsid w:val="00356926"/>
    <w:rsid w:val="00372581"/>
    <w:rsid w:val="00390913"/>
    <w:rsid w:val="00392EC7"/>
    <w:rsid w:val="00395FD4"/>
    <w:rsid w:val="0039628E"/>
    <w:rsid w:val="003A1DDB"/>
    <w:rsid w:val="003B0A87"/>
    <w:rsid w:val="003B1B37"/>
    <w:rsid w:val="003C07C7"/>
    <w:rsid w:val="003C705D"/>
    <w:rsid w:val="003D11EB"/>
    <w:rsid w:val="003D163F"/>
    <w:rsid w:val="003D2205"/>
    <w:rsid w:val="003D3BBC"/>
    <w:rsid w:val="003D49A9"/>
    <w:rsid w:val="003E0E8E"/>
    <w:rsid w:val="003E315F"/>
    <w:rsid w:val="003F169C"/>
    <w:rsid w:val="003F7C8E"/>
    <w:rsid w:val="00400721"/>
    <w:rsid w:val="00405297"/>
    <w:rsid w:val="00433037"/>
    <w:rsid w:val="00446AD3"/>
    <w:rsid w:val="00457AAE"/>
    <w:rsid w:val="004658EB"/>
    <w:rsid w:val="00484833"/>
    <w:rsid w:val="00485F32"/>
    <w:rsid w:val="00487D6A"/>
    <w:rsid w:val="004906B2"/>
    <w:rsid w:val="00492737"/>
    <w:rsid w:val="0049612D"/>
    <w:rsid w:val="004B2E25"/>
    <w:rsid w:val="004B734E"/>
    <w:rsid w:val="004C2E9E"/>
    <w:rsid w:val="004C4523"/>
    <w:rsid w:val="004D6006"/>
    <w:rsid w:val="004E07E7"/>
    <w:rsid w:val="004E1938"/>
    <w:rsid w:val="004E2BA0"/>
    <w:rsid w:val="004E35E2"/>
    <w:rsid w:val="004E3BFA"/>
    <w:rsid w:val="004E5D3A"/>
    <w:rsid w:val="004F7F6E"/>
    <w:rsid w:val="0050031C"/>
    <w:rsid w:val="0050373D"/>
    <w:rsid w:val="00504805"/>
    <w:rsid w:val="00507AC7"/>
    <w:rsid w:val="0052233D"/>
    <w:rsid w:val="005247A5"/>
    <w:rsid w:val="00524A51"/>
    <w:rsid w:val="00527819"/>
    <w:rsid w:val="005353FC"/>
    <w:rsid w:val="00542084"/>
    <w:rsid w:val="00542E34"/>
    <w:rsid w:val="005472AD"/>
    <w:rsid w:val="00547B80"/>
    <w:rsid w:val="00556E16"/>
    <w:rsid w:val="0056102A"/>
    <w:rsid w:val="00561E0A"/>
    <w:rsid w:val="00571135"/>
    <w:rsid w:val="00572456"/>
    <w:rsid w:val="00573262"/>
    <w:rsid w:val="00573D20"/>
    <w:rsid w:val="00584584"/>
    <w:rsid w:val="00586B47"/>
    <w:rsid w:val="00587EB5"/>
    <w:rsid w:val="00592E74"/>
    <w:rsid w:val="005946BC"/>
    <w:rsid w:val="0059481F"/>
    <w:rsid w:val="00597326"/>
    <w:rsid w:val="005A1047"/>
    <w:rsid w:val="005A47D6"/>
    <w:rsid w:val="005C4694"/>
    <w:rsid w:val="005E7470"/>
    <w:rsid w:val="005F119B"/>
    <w:rsid w:val="005F6322"/>
    <w:rsid w:val="0062129D"/>
    <w:rsid w:val="006267C4"/>
    <w:rsid w:val="00630209"/>
    <w:rsid w:val="0063413E"/>
    <w:rsid w:val="00647ABB"/>
    <w:rsid w:val="00657634"/>
    <w:rsid w:val="00661647"/>
    <w:rsid w:val="00672236"/>
    <w:rsid w:val="00681924"/>
    <w:rsid w:val="006916BB"/>
    <w:rsid w:val="00697DD7"/>
    <w:rsid w:val="006A0D9A"/>
    <w:rsid w:val="006A1F21"/>
    <w:rsid w:val="006A24EB"/>
    <w:rsid w:val="006B068E"/>
    <w:rsid w:val="006B0E10"/>
    <w:rsid w:val="006B0FDB"/>
    <w:rsid w:val="006B173D"/>
    <w:rsid w:val="006C1EAE"/>
    <w:rsid w:val="006D4DC2"/>
    <w:rsid w:val="006E2F83"/>
    <w:rsid w:val="006E7A24"/>
    <w:rsid w:val="006F5730"/>
    <w:rsid w:val="006F69DD"/>
    <w:rsid w:val="00707668"/>
    <w:rsid w:val="00716C5D"/>
    <w:rsid w:val="00721B4E"/>
    <w:rsid w:val="00737D80"/>
    <w:rsid w:val="00745788"/>
    <w:rsid w:val="00747BFB"/>
    <w:rsid w:val="0075013B"/>
    <w:rsid w:val="0075186F"/>
    <w:rsid w:val="007527B6"/>
    <w:rsid w:val="007718AF"/>
    <w:rsid w:val="00776262"/>
    <w:rsid w:val="00780F1F"/>
    <w:rsid w:val="00786B91"/>
    <w:rsid w:val="00787662"/>
    <w:rsid w:val="00787E35"/>
    <w:rsid w:val="007A25EF"/>
    <w:rsid w:val="007A4E9F"/>
    <w:rsid w:val="007A6EAD"/>
    <w:rsid w:val="007B3603"/>
    <w:rsid w:val="007C6A04"/>
    <w:rsid w:val="007D1ED2"/>
    <w:rsid w:val="007D451E"/>
    <w:rsid w:val="007D702A"/>
    <w:rsid w:val="007D7DBB"/>
    <w:rsid w:val="007E3209"/>
    <w:rsid w:val="007F1DD3"/>
    <w:rsid w:val="007F3398"/>
    <w:rsid w:val="00800F6F"/>
    <w:rsid w:val="00801C22"/>
    <w:rsid w:val="00805AB6"/>
    <w:rsid w:val="00812659"/>
    <w:rsid w:val="008131CC"/>
    <w:rsid w:val="008234CA"/>
    <w:rsid w:val="00831DB3"/>
    <w:rsid w:val="00836EA1"/>
    <w:rsid w:val="00845E95"/>
    <w:rsid w:val="00846A6C"/>
    <w:rsid w:val="00846FEB"/>
    <w:rsid w:val="00847D18"/>
    <w:rsid w:val="00850D91"/>
    <w:rsid w:val="0086799C"/>
    <w:rsid w:val="008718FB"/>
    <w:rsid w:val="00871A3B"/>
    <w:rsid w:val="008952FA"/>
    <w:rsid w:val="008A3525"/>
    <w:rsid w:val="008B5983"/>
    <w:rsid w:val="008B752A"/>
    <w:rsid w:val="008C0180"/>
    <w:rsid w:val="008C0522"/>
    <w:rsid w:val="008C23D3"/>
    <w:rsid w:val="008C3099"/>
    <w:rsid w:val="008D6CB2"/>
    <w:rsid w:val="008E2C28"/>
    <w:rsid w:val="008E3765"/>
    <w:rsid w:val="008E7DD0"/>
    <w:rsid w:val="008F5649"/>
    <w:rsid w:val="008F5ED9"/>
    <w:rsid w:val="009106AA"/>
    <w:rsid w:val="00914D81"/>
    <w:rsid w:val="00921183"/>
    <w:rsid w:val="0092704A"/>
    <w:rsid w:val="009275F8"/>
    <w:rsid w:val="00932E3B"/>
    <w:rsid w:val="009346EA"/>
    <w:rsid w:val="0094537E"/>
    <w:rsid w:val="0096311D"/>
    <w:rsid w:val="00966BCB"/>
    <w:rsid w:val="009728B0"/>
    <w:rsid w:val="0097584B"/>
    <w:rsid w:val="0097673C"/>
    <w:rsid w:val="00980208"/>
    <w:rsid w:val="00984A13"/>
    <w:rsid w:val="00987BD9"/>
    <w:rsid w:val="009939AD"/>
    <w:rsid w:val="0099632F"/>
    <w:rsid w:val="009A0754"/>
    <w:rsid w:val="009A432B"/>
    <w:rsid w:val="009B2FAF"/>
    <w:rsid w:val="009B3A91"/>
    <w:rsid w:val="009B3EAF"/>
    <w:rsid w:val="009C0A21"/>
    <w:rsid w:val="009C4AD2"/>
    <w:rsid w:val="009C79F3"/>
    <w:rsid w:val="009E02E2"/>
    <w:rsid w:val="009E26D9"/>
    <w:rsid w:val="009E36CC"/>
    <w:rsid w:val="009E3C6B"/>
    <w:rsid w:val="009E7CC3"/>
    <w:rsid w:val="009F1575"/>
    <w:rsid w:val="009F4C2C"/>
    <w:rsid w:val="00A11109"/>
    <w:rsid w:val="00A22475"/>
    <w:rsid w:val="00A272B1"/>
    <w:rsid w:val="00A43597"/>
    <w:rsid w:val="00A43D98"/>
    <w:rsid w:val="00A47ED0"/>
    <w:rsid w:val="00A51060"/>
    <w:rsid w:val="00A53FA3"/>
    <w:rsid w:val="00A5472F"/>
    <w:rsid w:val="00A5787C"/>
    <w:rsid w:val="00A61556"/>
    <w:rsid w:val="00A64A80"/>
    <w:rsid w:val="00A725C2"/>
    <w:rsid w:val="00A7299F"/>
    <w:rsid w:val="00A75965"/>
    <w:rsid w:val="00A76C0F"/>
    <w:rsid w:val="00A77065"/>
    <w:rsid w:val="00A800EA"/>
    <w:rsid w:val="00A819FE"/>
    <w:rsid w:val="00A84415"/>
    <w:rsid w:val="00A85329"/>
    <w:rsid w:val="00A90B0E"/>
    <w:rsid w:val="00AA0E1F"/>
    <w:rsid w:val="00AA20FC"/>
    <w:rsid w:val="00AA2342"/>
    <w:rsid w:val="00AB2943"/>
    <w:rsid w:val="00AC1D9E"/>
    <w:rsid w:val="00AC5F4A"/>
    <w:rsid w:val="00AC6E9B"/>
    <w:rsid w:val="00AD08C2"/>
    <w:rsid w:val="00AD35AB"/>
    <w:rsid w:val="00AE110B"/>
    <w:rsid w:val="00AE23C5"/>
    <w:rsid w:val="00AE3F1A"/>
    <w:rsid w:val="00AF6909"/>
    <w:rsid w:val="00B10CCE"/>
    <w:rsid w:val="00B13D2E"/>
    <w:rsid w:val="00B21686"/>
    <w:rsid w:val="00B25AAB"/>
    <w:rsid w:val="00B25B72"/>
    <w:rsid w:val="00B26390"/>
    <w:rsid w:val="00B27753"/>
    <w:rsid w:val="00B32943"/>
    <w:rsid w:val="00B50F76"/>
    <w:rsid w:val="00B66A02"/>
    <w:rsid w:val="00B7060F"/>
    <w:rsid w:val="00B70F12"/>
    <w:rsid w:val="00B76DDC"/>
    <w:rsid w:val="00B82A04"/>
    <w:rsid w:val="00B940F3"/>
    <w:rsid w:val="00B9413C"/>
    <w:rsid w:val="00BB01B6"/>
    <w:rsid w:val="00BC32FA"/>
    <w:rsid w:val="00BE5A49"/>
    <w:rsid w:val="00BF2539"/>
    <w:rsid w:val="00BF2ECF"/>
    <w:rsid w:val="00C056FE"/>
    <w:rsid w:val="00C11A05"/>
    <w:rsid w:val="00C1550E"/>
    <w:rsid w:val="00C243CE"/>
    <w:rsid w:val="00C25180"/>
    <w:rsid w:val="00C3754F"/>
    <w:rsid w:val="00C46451"/>
    <w:rsid w:val="00C52886"/>
    <w:rsid w:val="00C54566"/>
    <w:rsid w:val="00C56910"/>
    <w:rsid w:val="00C76D1F"/>
    <w:rsid w:val="00C776E3"/>
    <w:rsid w:val="00C806C2"/>
    <w:rsid w:val="00C82669"/>
    <w:rsid w:val="00C90740"/>
    <w:rsid w:val="00C94221"/>
    <w:rsid w:val="00C94949"/>
    <w:rsid w:val="00C97C9F"/>
    <w:rsid w:val="00CA5A4E"/>
    <w:rsid w:val="00CB11E6"/>
    <w:rsid w:val="00CB39B2"/>
    <w:rsid w:val="00CC113D"/>
    <w:rsid w:val="00CD22CA"/>
    <w:rsid w:val="00CD4E59"/>
    <w:rsid w:val="00CD51E2"/>
    <w:rsid w:val="00CE19AA"/>
    <w:rsid w:val="00CE2D70"/>
    <w:rsid w:val="00CE38FE"/>
    <w:rsid w:val="00CE4658"/>
    <w:rsid w:val="00CE684E"/>
    <w:rsid w:val="00CE71AC"/>
    <w:rsid w:val="00CE78B9"/>
    <w:rsid w:val="00CE78F7"/>
    <w:rsid w:val="00CF0080"/>
    <w:rsid w:val="00CF1DCB"/>
    <w:rsid w:val="00D0578E"/>
    <w:rsid w:val="00D17FDE"/>
    <w:rsid w:val="00D21997"/>
    <w:rsid w:val="00D26F55"/>
    <w:rsid w:val="00D27DF9"/>
    <w:rsid w:val="00D308D0"/>
    <w:rsid w:val="00D30AE7"/>
    <w:rsid w:val="00D378D2"/>
    <w:rsid w:val="00D40497"/>
    <w:rsid w:val="00D5482F"/>
    <w:rsid w:val="00D616D9"/>
    <w:rsid w:val="00D65F93"/>
    <w:rsid w:val="00D703D9"/>
    <w:rsid w:val="00D73259"/>
    <w:rsid w:val="00D75BF5"/>
    <w:rsid w:val="00D76A08"/>
    <w:rsid w:val="00D76E4A"/>
    <w:rsid w:val="00D772EF"/>
    <w:rsid w:val="00D91EE7"/>
    <w:rsid w:val="00D92CC1"/>
    <w:rsid w:val="00D963C6"/>
    <w:rsid w:val="00DA4E55"/>
    <w:rsid w:val="00DA74DB"/>
    <w:rsid w:val="00DB4A36"/>
    <w:rsid w:val="00DB6A32"/>
    <w:rsid w:val="00DB6A43"/>
    <w:rsid w:val="00DC1ACD"/>
    <w:rsid w:val="00DC4151"/>
    <w:rsid w:val="00DC6790"/>
    <w:rsid w:val="00DC7D64"/>
    <w:rsid w:val="00DC7EFA"/>
    <w:rsid w:val="00DD5C6F"/>
    <w:rsid w:val="00DD65AC"/>
    <w:rsid w:val="00DF3653"/>
    <w:rsid w:val="00DF4D11"/>
    <w:rsid w:val="00E00AAC"/>
    <w:rsid w:val="00E03FB9"/>
    <w:rsid w:val="00E040CF"/>
    <w:rsid w:val="00E07034"/>
    <w:rsid w:val="00E348C1"/>
    <w:rsid w:val="00E34EB2"/>
    <w:rsid w:val="00E4008D"/>
    <w:rsid w:val="00E40D35"/>
    <w:rsid w:val="00E40E81"/>
    <w:rsid w:val="00E55DDC"/>
    <w:rsid w:val="00E560B9"/>
    <w:rsid w:val="00E57003"/>
    <w:rsid w:val="00E6799C"/>
    <w:rsid w:val="00E743E3"/>
    <w:rsid w:val="00E85348"/>
    <w:rsid w:val="00E87884"/>
    <w:rsid w:val="00E87A8E"/>
    <w:rsid w:val="00E91EF9"/>
    <w:rsid w:val="00E92DA0"/>
    <w:rsid w:val="00E94DBE"/>
    <w:rsid w:val="00EA1A2A"/>
    <w:rsid w:val="00EC2792"/>
    <w:rsid w:val="00EC4396"/>
    <w:rsid w:val="00EC44AC"/>
    <w:rsid w:val="00EC4A4F"/>
    <w:rsid w:val="00ED4F6A"/>
    <w:rsid w:val="00EE43D6"/>
    <w:rsid w:val="00EE4404"/>
    <w:rsid w:val="00EF3868"/>
    <w:rsid w:val="00EF43B2"/>
    <w:rsid w:val="00EF653B"/>
    <w:rsid w:val="00EF682C"/>
    <w:rsid w:val="00F01B9B"/>
    <w:rsid w:val="00F07BD7"/>
    <w:rsid w:val="00F267D5"/>
    <w:rsid w:val="00F327A4"/>
    <w:rsid w:val="00F34C90"/>
    <w:rsid w:val="00F35A00"/>
    <w:rsid w:val="00F60DC3"/>
    <w:rsid w:val="00F63D36"/>
    <w:rsid w:val="00F64F7D"/>
    <w:rsid w:val="00F6723F"/>
    <w:rsid w:val="00F8644C"/>
    <w:rsid w:val="00F93D3F"/>
    <w:rsid w:val="00F94C8F"/>
    <w:rsid w:val="00F97700"/>
    <w:rsid w:val="00FA05DB"/>
    <w:rsid w:val="00FA3F94"/>
    <w:rsid w:val="00FB00E2"/>
    <w:rsid w:val="00FB5D4A"/>
    <w:rsid w:val="00FC1ED7"/>
    <w:rsid w:val="00FC32E5"/>
    <w:rsid w:val="00FC3514"/>
    <w:rsid w:val="00FD1963"/>
    <w:rsid w:val="00FE2CB2"/>
    <w:rsid w:val="00FE3A16"/>
    <w:rsid w:val="00FE3A38"/>
    <w:rsid w:val="00FE76AE"/>
    <w:rsid w:val="00FF3FDE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E3B6F"/>
  <w15:docId w15:val="{81726ACA-9A1D-4DB0-9429-582609F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80"/>
  </w:style>
  <w:style w:type="paragraph" w:styleId="Heading1">
    <w:name w:val="heading 1"/>
    <w:basedOn w:val="Normal"/>
    <w:next w:val="Normal"/>
    <w:uiPriority w:val="9"/>
    <w:qFormat/>
    <w:rsid w:val="00010262"/>
    <w:pPr>
      <w:pBdr>
        <w:top w:val="single" w:sz="24" w:space="1" w:color="1E2C5D"/>
        <w:left w:val="single" w:sz="24" w:space="4" w:color="1E2C5D"/>
        <w:bottom w:val="single" w:sz="24" w:space="1" w:color="1E2C5D"/>
        <w:right w:val="single" w:sz="24" w:space="4" w:color="1E2C5D"/>
      </w:pBdr>
      <w:shd w:val="clear" w:color="auto" w:fill="1E2C5D"/>
      <w:outlineLvl w:val="0"/>
    </w:pPr>
    <w:rPr>
      <w:rFonts w:ascii="Arial Nova" w:hAnsi="Arial Nova"/>
      <w:b/>
      <w:color w:val="FFFFFF" w:themeColor="background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15F"/>
    <w:pPr>
      <w:spacing w:after="120"/>
      <w:outlineLvl w:val="1"/>
    </w:pPr>
    <w:rPr>
      <w:rFonts w:ascii="Arial Nova" w:hAnsi="Arial Nova"/>
      <w:iCs/>
      <w:color w:val="1E2C5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262"/>
    <w:pPr>
      <w:keepNext/>
      <w:keepLines/>
      <w:spacing w:before="600" w:after="80"/>
      <w:ind w:left="288"/>
      <w:outlineLvl w:val="2"/>
    </w:pPr>
    <w:rPr>
      <w:rFonts w:ascii="Arial Nova" w:hAnsi="Arial Nova"/>
      <w:i/>
      <w:iCs/>
      <w:color w:val="1E2C5D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link w:val="ListParagraphChar"/>
    <w:uiPriority w:val="34"/>
    <w:qFormat/>
    <w:rsid w:val="00DC7EFA"/>
    <w:pPr>
      <w:ind w:left="720"/>
      <w:contextualSpacing/>
    </w:pPr>
  </w:style>
  <w:style w:type="character" w:customStyle="1" w:styleId="notion-enable-hover">
    <w:name w:val="notion-enable-hover"/>
    <w:basedOn w:val="DefaultParagraphFont"/>
    <w:rsid w:val="007B3603"/>
  </w:style>
  <w:style w:type="character" w:styleId="CommentReference">
    <w:name w:val="annotation reference"/>
    <w:basedOn w:val="DefaultParagraphFont"/>
    <w:uiPriority w:val="99"/>
    <w:semiHidden/>
    <w:unhideWhenUsed/>
    <w:rsid w:val="002C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75"/>
  </w:style>
  <w:style w:type="paragraph" w:styleId="Footer">
    <w:name w:val="footer"/>
    <w:basedOn w:val="Normal"/>
    <w:link w:val="FooterChar"/>
    <w:uiPriority w:val="99"/>
    <w:unhideWhenUsed/>
    <w:rsid w:val="009F15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75"/>
  </w:style>
  <w:style w:type="paragraph" w:styleId="NoSpacing">
    <w:name w:val="No Spacing"/>
    <w:link w:val="NoSpacingChar"/>
    <w:uiPriority w:val="1"/>
    <w:qFormat/>
    <w:rsid w:val="00DC1ACD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1ACD"/>
    <w:rPr>
      <w:rFonts w:asciiTheme="minorHAnsi" w:eastAsiaTheme="minorEastAsia" w:hAnsiTheme="minorHAnsi" w:cstheme="minorBidi"/>
      <w:lang w:val="en-US"/>
    </w:rPr>
  </w:style>
  <w:style w:type="table" w:styleId="TableGrid">
    <w:name w:val="Table Grid"/>
    <w:basedOn w:val="TableNormal"/>
    <w:uiPriority w:val="39"/>
    <w:rsid w:val="00932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CE19AA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E19AA"/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64F7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F1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D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E315F"/>
    <w:rPr>
      <w:rFonts w:ascii="Arial Nova" w:hAnsi="Arial Nova"/>
      <w:i/>
      <w:iCs/>
      <w:color w:val="1E2C5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6925"/>
    <w:pPr>
      <w:autoSpaceDE w:val="0"/>
      <w:autoSpaceDN w:val="0"/>
      <w:adjustRightInd w:val="0"/>
      <w:spacing w:line="240" w:lineRule="auto"/>
    </w:pPr>
    <w:rPr>
      <w:rFonts w:ascii=".L" w:hAnsi=".L" w:cs=".L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D6925"/>
  </w:style>
  <w:style w:type="character" w:customStyle="1" w:styleId="cf01">
    <w:name w:val="cf01"/>
    <w:basedOn w:val="DefaultParagraphFont"/>
    <w:rsid w:val="000D692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D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2943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46FE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6F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6F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6FEB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CF0080"/>
    <w:rPr>
      <w:rFonts w:ascii="Arial Nova" w:hAnsi="Arial Nova"/>
      <w:iCs/>
      <w:color w:val="1E2C5D"/>
      <w:sz w:val="26"/>
      <w:szCs w:val="26"/>
    </w:rPr>
  </w:style>
  <w:style w:type="table" w:styleId="PlainTable3">
    <w:name w:val="Plain Table 3"/>
    <w:basedOn w:val="TableNormal"/>
    <w:uiPriority w:val="43"/>
    <w:rsid w:val="00395F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261A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472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3AB0BF-3DE5-4080-9322-6D09393A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Gilead Oncology Corporate Giving Programme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Gilead Oncology Corporate Giving Programme</dc:title>
  <dc:subject>DRAFT</dc:subject>
  <dc:creator>Dara Geckeler</dc:creator>
  <cp:lastModifiedBy>Dara Geckeler</cp:lastModifiedBy>
  <cp:revision>7</cp:revision>
  <dcterms:created xsi:type="dcterms:W3CDTF">2024-09-03T21:43:00Z</dcterms:created>
  <dcterms:modified xsi:type="dcterms:W3CDTF">2024-09-12T20:53:00Z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2022-05-13T08:10:37Z</vt:lpwstr>
  </property>
  <property fmtid="{D5CDD505-2E9C-101B-9397-08002B2CF9AE}" pid="4" name="MSIP_Label_418c1083-8924-401d-97ae-40f5eed0fcd8_Method">
    <vt:lpwstr>Privileged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6a7c2242-807e-4393-bd43-dc7d871b9694</vt:lpwstr>
  </property>
  <property fmtid="{D5CDD505-2E9C-101B-9397-08002B2CF9AE}" pid="8" name="MSIP_Label_418c1083-8924-401d-97ae-40f5eed0fcd8_ContentBits">
    <vt:lpwstr>0</vt:lpwstr>
  </property>
</Properties>
</file>